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69D" w:rsidRDefault="0014069D" w:rsidP="0014069D">
      <w:pPr>
        <w:autoSpaceDE w:val="0"/>
        <w:autoSpaceDN w:val="0"/>
        <w:adjustRightInd w:val="0"/>
        <w:spacing w:line="580" w:lineRule="atLeast"/>
        <w:jc w:val="center"/>
        <w:textAlignment w:val="center"/>
        <w:rPr>
          <w:rFonts w:ascii="Palatino Linotype" w:hAnsi="Palatino Linotype" w:cs="FreeSet Tj"/>
          <w:b/>
          <w:bCs/>
          <w:color w:val="000000"/>
          <w:w w:val="70"/>
          <w:sz w:val="72"/>
          <w:szCs w:val="72"/>
        </w:rPr>
      </w:pPr>
      <w:r w:rsidRPr="00174C58">
        <w:rPr>
          <w:rFonts w:ascii="Palatino Linotype" w:hAnsi="Palatino Linotype" w:cs="FreeSet Tj"/>
          <w:b/>
          <w:bCs/>
          <w:color w:val="000000"/>
          <w:w w:val="70"/>
          <w:sz w:val="72"/>
          <w:szCs w:val="72"/>
        </w:rPr>
        <w:t>Қонуни Ҷумҳурии Тоҷикистон</w:t>
      </w:r>
    </w:p>
    <w:p w:rsidR="0014069D" w:rsidRPr="00174C58" w:rsidRDefault="0014069D" w:rsidP="0014069D">
      <w:pPr>
        <w:autoSpaceDE w:val="0"/>
        <w:autoSpaceDN w:val="0"/>
        <w:adjustRightInd w:val="0"/>
        <w:spacing w:line="580" w:lineRule="atLeast"/>
        <w:jc w:val="center"/>
        <w:textAlignment w:val="center"/>
        <w:rPr>
          <w:rFonts w:ascii="Palatino Linotype" w:hAnsi="Palatino Linotype" w:cs="Arial Tj"/>
          <w:b/>
          <w:bCs/>
          <w:color w:val="000000"/>
          <w:position w:val="-8"/>
          <w:sz w:val="34"/>
          <w:szCs w:val="34"/>
        </w:rPr>
      </w:pPr>
      <w:bookmarkStart w:id="0" w:name="_GoBack"/>
      <w:bookmarkEnd w:id="0"/>
      <w:r w:rsidRPr="00174C58">
        <w:rPr>
          <w:rFonts w:ascii="Palatino Linotype" w:hAnsi="Palatino Linotype" w:cs="FreeSet Tj"/>
          <w:b/>
          <w:bCs/>
          <w:color w:val="000000"/>
          <w:w w:val="70"/>
          <w:sz w:val="72"/>
          <w:szCs w:val="72"/>
          <w:lang w:val="tg-Cyrl-TJ"/>
        </w:rPr>
        <w:t xml:space="preserve"> </w:t>
      </w:r>
      <w:r w:rsidRPr="00174C58">
        <w:rPr>
          <w:rFonts w:ascii="Palatino Linotype" w:hAnsi="Palatino Linotype" w:cs="Arial Tj"/>
          <w:b/>
          <w:bCs/>
          <w:color w:val="000000"/>
          <w:position w:val="-8"/>
          <w:sz w:val="34"/>
          <w:szCs w:val="34"/>
        </w:rPr>
        <w:t>Дар бораи ворид намудани тағйиру иловаҳо ба</w:t>
      </w:r>
      <w:r w:rsidRPr="00174C58">
        <w:rPr>
          <w:rFonts w:ascii="Palatino Linotype" w:hAnsi="Palatino Linotype" w:cs="Arial Tj"/>
          <w:b/>
          <w:bCs/>
          <w:color w:val="000000"/>
          <w:position w:val="-8"/>
          <w:sz w:val="34"/>
          <w:szCs w:val="34"/>
          <w:lang w:val="tg-Cyrl-TJ"/>
        </w:rPr>
        <w:t xml:space="preserve"> </w:t>
      </w:r>
      <w:r w:rsidRPr="00174C58">
        <w:rPr>
          <w:rFonts w:ascii="Palatino Linotype" w:hAnsi="Palatino Linotype" w:cs="Arial Tj"/>
          <w:b/>
          <w:bCs/>
          <w:color w:val="000000"/>
          <w:position w:val="-8"/>
          <w:sz w:val="34"/>
          <w:szCs w:val="34"/>
        </w:rPr>
        <w:t>Кодекси фазои ҳавоии Ҷумҳурии Тоҷикистон</w:t>
      </w:r>
      <w:r w:rsidRPr="00174C58">
        <w:rPr>
          <w:rFonts w:ascii="Palatino Linotype" w:hAnsi="Palatino Linotype" w:cs="Arial Tj"/>
          <w:b/>
          <w:bCs/>
          <w:color w:val="000000"/>
          <w:spacing w:val="-4"/>
          <w:sz w:val="18"/>
          <w:szCs w:val="18"/>
        </w:rPr>
        <w:t>3</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b/>
          <w:bCs/>
          <w:color w:val="000000"/>
          <w:sz w:val="18"/>
          <w:szCs w:val="18"/>
        </w:rPr>
        <w:t>Моддаи 1.</w:t>
      </w:r>
      <w:r w:rsidRPr="00174C58">
        <w:rPr>
          <w:rFonts w:ascii="Palatino Linotype" w:hAnsi="Palatino Linotype" w:cs="Arial Tj"/>
          <w:color w:val="000000"/>
          <w:sz w:val="18"/>
          <w:szCs w:val="18"/>
        </w:rPr>
        <w:t xml:space="preserve"> Ба Кодекси фазои ҳавоии Ҷумҳурии Тоҷикистон аз 13 ноябри соли 1998 (Ахбори Маҷлиси Олии Ҷумҳурии Тоҷикистон, с. 1998, №23-24, мод. 342; с. 2005, №12, мод. 631; с. 2007, №7, мод. 685; с. 2008, №10, мод. </w:t>
      </w:r>
      <w:proofErr w:type="gramStart"/>
      <w:r w:rsidRPr="00174C58">
        <w:rPr>
          <w:rFonts w:ascii="Palatino Linotype" w:hAnsi="Palatino Linotype" w:cs="Arial Tj"/>
          <w:color w:val="000000"/>
          <w:sz w:val="18"/>
          <w:szCs w:val="18"/>
        </w:rPr>
        <w:t>806;  с.</w:t>
      </w:r>
      <w:proofErr w:type="gramEnd"/>
      <w:r w:rsidRPr="00174C58">
        <w:rPr>
          <w:rFonts w:ascii="Palatino Linotype" w:hAnsi="Palatino Linotype" w:cs="Arial Tj"/>
          <w:color w:val="000000"/>
          <w:sz w:val="18"/>
          <w:szCs w:val="18"/>
        </w:rPr>
        <w:t xml:space="preserve"> 2011, №12, мод. 839; с. 2013, №7, мод. 506; с. 2015, №3, мод. 203; с. 2016, №5, мод. 366) тағйиру иловаҳои зерин ворид карда шаванд:</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1. Дар муқаддима ва матни Кодекс калимаҳои «авиацияро», «авиация», «авиацияи», «авиационӣ», «авиациониро», «АВИАЦИЯ», «Авиацияи», «Авиацияе», «авиационии», «авиационие» ва «АВИАЦИОНӢ» мувофиқан ба калимаҳои «авиатсияро», «авиатсия», «авиатсияи», «авиатсионӣ», «авиатсиониро», «АВИАТСИЯ», «Авиатсияи», «Авиатсияе», «авиатсионии», «авиатсионие» ва «АВИАТСИОНӢ» иваз карда шаванд.  </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2. Аз қисми якуми моддаи 1 ва матни моддаи 4 калимаи «(Сарқонуни)» хориҷ карда шавад. </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3. Дар матни моддаи 7, банди 1) моддаи 14, сархати дуюми қисми чоруми моддаи 38, қисми дуюми моддаи 54, қисмҳои дуюм, панҷум, сархатҳои якум ва дуюми қисми шашуми моддаи 56, қисми якуми моддаи 63, қисми дуюми моддаи 64, ном, қисмҳои якум ва дуюми   моддаи 74, матни моддаи 75, ном ва матни моддаи 84, қисми якуми моддаи 88, матни моддаи 94 ва қисми сеюми моддаи 107 калимаҳои «қаламрави», «қаламравҳои», «ҳудуди қаламрави» ва «қаламрав» мувофиқан ба калимаҳои «ҳудуди», «ҳудудҳои», «доираи ҳудуди» ва «ҳудуд» иваз карда шаванд. </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4. Ба моддаи 38 қисми ёздаҳум бо мазмуни зерин илова карда шавад:</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«Мақоми махсуси ваколатдори соҳаи авиатсияи гражданӣ бо иҷозати Ҳукумати Ҷумҳурии Тоҷикистон ва тибқи санадҳои ҳуқуқии байналмилалии эътирофнамудаи Тоҷикистон метавонад бо мақоми ваколатдори давлати дигар шартнома дар бораи додани баъзе ӯҳдадорӣ ва вазифаҳои давлати бақайд</w:t>
      </w:r>
      <w:r w:rsidRPr="00174C58">
        <w:rPr>
          <w:rFonts w:ascii="Palatino Linotype" w:hAnsi="Palatino Linotype" w:cs="Calibri"/>
          <w:color w:val="000000"/>
          <w:spacing w:val="4"/>
          <w:sz w:val="18"/>
          <w:szCs w:val="18"/>
        </w:rPr>
        <w:t>­</w:t>
      </w:r>
      <w:r w:rsidRPr="00174C58">
        <w:rPr>
          <w:rFonts w:ascii="Palatino Linotype" w:hAnsi="Palatino Linotype" w:cs="Arial Tj"/>
          <w:color w:val="000000"/>
          <w:spacing w:val="4"/>
          <w:sz w:val="18"/>
          <w:szCs w:val="18"/>
        </w:rPr>
        <w:t>гиранда вобаста ба ҳавопаймое, ки дар Тоҷикистон ба қайд гирифта шудааст, ба имзо расонад ва дар ин бора Шӯрои Ташкилоти байналмилалии авиатсияи гражданиро хабардор намояд.».</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5. Ба қисми панҷуми моддаи 72 пас аз калимаҳои «Ҷумҳурии Тоҷикистон» аломат ва калимаҳои «, ба истиснои ҳавопаймоҳое, ки барои мақсадҳои ҳарбӣ, гумрукӣ ва мақомоти корҳои дохилӣ истифода мешаванд,» илова карда шаванд.</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6. Моддаи 75</w:t>
      </w:r>
      <w:r w:rsidRPr="00174C58">
        <w:rPr>
          <w:rFonts w:ascii="Palatino Linotype" w:hAnsi="Palatino Linotype" w:cs="Arial Tj"/>
          <w:color w:val="000000"/>
          <w:sz w:val="18"/>
          <w:szCs w:val="18"/>
          <w:vertAlign w:val="superscript"/>
        </w:rPr>
        <w:t>1</w:t>
      </w:r>
      <w:r w:rsidRPr="00174C58">
        <w:rPr>
          <w:rFonts w:ascii="Palatino Linotype" w:hAnsi="Palatino Linotype" w:cs="Arial Tj"/>
          <w:color w:val="000000"/>
          <w:sz w:val="18"/>
          <w:szCs w:val="18"/>
        </w:rPr>
        <w:t xml:space="preserve"> бо мазмуни зерин илова карда шавад:</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b/>
          <w:bCs/>
          <w:color w:val="000000"/>
          <w:sz w:val="18"/>
          <w:szCs w:val="18"/>
        </w:rPr>
      </w:pPr>
      <w:r w:rsidRPr="00174C58">
        <w:rPr>
          <w:rFonts w:ascii="Palatino Linotype" w:hAnsi="Palatino Linotype" w:cs="Arial Tj"/>
          <w:color w:val="000000"/>
          <w:sz w:val="18"/>
          <w:szCs w:val="18"/>
        </w:rPr>
        <w:t>«</w:t>
      </w:r>
      <w:r w:rsidRPr="00174C58">
        <w:rPr>
          <w:rFonts w:ascii="Palatino Linotype" w:hAnsi="Palatino Linotype" w:cs="Arial Tj"/>
          <w:b/>
          <w:bCs/>
          <w:color w:val="000000"/>
          <w:sz w:val="18"/>
          <w:szCs w:val="18"/>
        </w:rPr>
        <w:t>Моддаи 75</w:t>
      </w:r>
      <w:r w:rsidRPr="00174C58">
        <w:rPr>
          <w:rFonts w:ascii="Palatino Linotype" w:hAnsi="Palatino Linotype" w:cs="Arial Tj"/>
          <w:b/>
          <w:bCs/>
          <w:color w:val="000000"/>
          <w:sz w:val="18"/>
          <w:szCs w:val="18"/>
          <w:vertAlign w:val="superscript"/>
        </w:rPr>
        <w:t>1</w:t>
      </w:r>
      <w:r w:rsidRPr="00174C58">
        <w:rPr>
          <w:rFonts w:ascii="Palatino Linotype" w:hAnsi="Palatino Linotype" w:cs="Arial Tj"/>
          <w:b/>
          <w:bCs/>
          <w:color w:val="000000"/>
          <w:sz w:val="18"/>
          <w:szCs w:val="18"/>
        </w:rPr>
        <w:t>. Пешниҳоди маълумоти шахсии дастрасиашон умумии мусофирони ҳавопаймо ва дигар маълумот дар бораи ҳамлу нақли мусофирон</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Ҳамлу нақлдиҳандагон дар бораи мусофироне, ки воридшавиашон ба Ҷумҳурии Тоҷикистон ё дигар давлати таъинот ё транзит рад карда мешавад, фиристонидани маълумоти шахсии дастрасиашон умумии мусофирони ҳавопаймоҳои ба Ҷумҳурии Тоҷикистон воридшаванда ва аз он беруншаванда, инчунин тибқи тартиби муайяннамудаи қонунгузории Ҷумҳурии Тоҷикистон дигар маълумотро дар бораи ҳамлу нақли мусофирон ба системаҳои иттилоотии мақоми махсуси соҳаи авиатсияи гражданӣ ва ҳангоми анҷом додани ҳамлу нақли ҳавоии байналмилалии мусофирон, инчунин ба мақомоти ваколатдори давлатҳои хориҷӣ тибқи шартномаҳои байналмилалии Ҷумҳурии Тоҷикистон ё қонунгузории давлатҳои хориҷӣ, ки давлатҳои сафар, таъинот ё транзит мебошанд, таъмин менамоянд. </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Тартиби иттилоотонӣ дар бораи мусофирони вурудашон ба Ҷумҳурии Тоҷикистон радшаванда ба ҳамлу нақлдиҳандагоне, ки ҳамлу нақли ҳавоии байналмилалии мусофиронро амалӣ менамоянд, аз ҷониби Ҳукумати Ҷумҳурии Тоҷикистон муқаррар карда мешавад.».</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7. Дар моддаи 99:</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ба қисми якум ҷумлаи дуюм бо мазмуни зерин илова карда шавад:</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lastRenderedPageBreak/>
        <w:t>«Зимнан пардохти хизматрасонӣ ва пардохти ҳамлу нақли ҳавоии мусофирон дар асоси тарифҳо барои ҳамлу нақли дохилӣ тибқи қонунгузории Ҷумҳурии Тоҷикистон ва барои ҳамлу нақли ҳавоии байналмилалӣ тибқи шартномаҳои байналмилалии Ҷумҳурии Тоҷикистон амалӣ карда мешаванд.»;</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қисми панҷум бо мазмуни зерин илова карда шавад:</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«Корхонаҳои авиатсионӣ ҳуқуқ доранд аз ҳисоби худ барои категорияи алоҳидаи шаҳрвандон имтиёзҳо муқаррар намоянд.».</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8. Дар қисми якуми моддаи 100: </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 дар банди 7) аломати нуқта ба аломати нуқтавергул «;» иваз карда шавад;  </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банди 8) бо мазмуни зерин илова карда шавад:</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«8) агар воридшавии мусофир ба Ҷумҳурии Тоҷикистон ё давлати дигар манъ шуда бошад.». </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9. Дар моддаи 101:</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дар қисми дуюм калимаи «боҷ» ба калимаи «хироҷ» иваз карда шавад;</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қисмҳои сеюм ва чорум бо мазмуни зерин илова карда шаванд:</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«Ҳамлу нақлдиҳанда ӯҳдадор аст, ки мусофири ҳавопайморо дар бораи шартҳои баргардонидан ё барнагардонидани маблағи барои ҳамлу нақли ҳавоӣ пардохтшуда пеш аз бастани шартномаи ҳамлу нақли мусофир огоҳ кунад ва ҳолати мазкурро дар шартнома дарҷ намояд.</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Дар сурати даст кашидани мусофири ҳавопаймо аз иҷрои шартномаи ҳамлу нақли ҳавоӣ бо сабаби ба таъхир афтодани парвози ҳавопаймо, инчунин дар ҳолатҳои дигари ноилоҷ даст кашидан бо гуноҳи ҳамлу нақлдиҳанда, ки Қоидаҳои умумии авиатсияи Ҷумҳурии Тоҷикистон пешбинӣ намудаанд, ба мусофир маблағи пардохт барои ҳамлу нақли ҳавоӣ, аз ҷумла маблағи пардохти бебозгашт пурра баргардонида мешавад.».  </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b/>
          <w:bCs/>
          <w:color w:val="000000"/>
          <w:sz w:val="18"/>
          <w:szCs w:val="18"/>
        </w:rPr>
        <w:t xml:space="preserve">Моддаи 2. </w:t>
      </w:r>
      <w:r w:rsidRPr="00174C58">
        <w:rPr>
          <w:rFonts w:ascii="Palatino Linotype" w:hAnsi="Palatino Linotype" w:cs="Arial Tj"/>
          <w:color w:val="000000"/>
          <w:sz w:val="18"/>
          <w:szCs w:val="18"/>
        </w:rPr>
        <w:t>Қонуни мазкур пас аз интишори расмӣ мавриди амал қарор дода шавад.</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p>
    <w:p w:rsidR="0014069D" w:rsidRPr="00174C58" w:rsidRDefault="0014069D" w:rsidP="0014069D">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 xml:space="preserve">Президенти </w:t>
      </w:r>
    </w:p>
    <w:p w:rsidR="0014069D" w:rsidRPr="00174C58" w:rsidRDefault="0014069D" w:rsidP="0014069D">
      <w:pPr>
        <w:autoSpaceDE w:val="0"/>
        <w:autoSpaceDN w:val="0"/>
        <w:adjustRightInd w:val="0"/>
        <w:spacing w:line="288" w:lineRule="auto"/>
        <w:jc w:val="both"/>
        <w:textAlignment w:val="center"/>
        <w:rPr>
          <w:rFonts w:ascii="Palatino Linotype" w:hAnsi="Palatino Linotype" w:cs="Arial Tj"/>
          <w:b/>
          <w:bCs/>
          <w:caps/>
          <w:color w:val="000000"/>
          <w:spacing w:val="-4"/>
          <w:sz w:val="18"/>
          <w:szCs w:val="18"/>
        </w:rPr>
      </w:pPr>
      <w:r w:rsidRPr="00174C58">
        <w:rPr>
          <w:rFonts w:ascii="Palatino Linotype" w:hAnsi="Palatino Linotype" w:cs="Arial Tj"/>
          <w:b/>
          <w:bCs/>
          <w:color w:val="000000"/>
          <w:spacing w:val="-4"/>
          <w:sz w:val="18"/>
          <w:szCs w:val="18"/>
        </w:rPr>
        <w:t xml:space="preserve">Ҷумҳурии Тоҷикистон </w:t>
      </w:r>
      <w:r w:rsidRPr="00174C58">
        <w:rPr>
          <w:rFonts w:ascii="Palatino Linotype" w:hAnsi="Palatino Linotype" w:cs="Arial Tj"/>
          <w:b/>
          <w:bCs/>
          <w:color w:val="000000"/>
          <w:spacing w:val="-4"/>
          <w:sz w:val="18"/>
          <w:szCs w:val="18"/>
        </w:rPr>
        <w:tab/>
      </w:r>
      <w:r w:rsidRPr="00174C58">
        <w:rPr>
          <w:rFonts w:ascii="Palatino Linotype" w:hAnsi="Palatino Linotype" w:cs="Arial Tj"/>
          <w:b/>
          <w:bCs/>
          <w:color w:val="000000"/>
          <w:spacing w:val="-4"/>
          <w:sz w:val="18"/>
          <w:szCs w:val="18"/>
        </w:rPr>
        <w:tab/>
      </w:r>
      <w:r w:rsidRPr="00174C58">
        <w:rPr>
          <w:rFonts w:ascii="Palatino Linotype" w:hAnsi="Palatino Linotype" w:cs="Arial Tj"/>
          <w:b/>
          <w:bCs/>
          <w:color w:val="000000"/>
          <w:spacing w:val="-4"/>
          <w:sz w:val="18"/>
          <w:szCs w:val="18"/>
        </w:rPr>
        <w:tab/>
        <w:t xml:space="preserve">     </w:t>
      </w:r>
      <w:proofErr w:type="gramStart"/>
      <w:r w:rsidRPr="00174C58">
        <w:rPr>
          <w:rFonts w:ascii="Palatino Linotype" w:hAnsi="Palatino Linotype" w:cs="Arial Tj"/>
          <w:b/>
          <w:bCs/>
          <w:color w:val="000000"/>
          <w:spacing w:val="-4"/>
          <w:sz w:val="18"/>
          <w:szCs w:val="18"/>
        </w:rPr>
        <w:t xml:space="preserve">Эмомалӣ  </w:t>
      </w:r>
      <w:r w:rsidRPr="00174C58">
        <w:rPr>
          <w:rFonts w:ascii="Palatino Linotype" w:hAnsi="Palatino Linotype" w:cs="Arial Tj"/>
          <w:b/>
          <w:bCs/>
          <w:caps/>
          <w:color w:val="000000"/>
          <w:spacing w:val="-4"/>
          <w:sz w:val="18"/>
          <w:szCs w:val="18"/>
        </w:rPr>
        <w:t>Раҳмон</w:t>
      </w:r>
      <w:proofErr w:type="gramEnd"/>
    </w:p>
    <w:p w:rsidR="0014069D" w:rsidRPr="00174C58" w:rsidRDefault="0014069D" w:rsidP="0014069D">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ш. Душанбе, 24 декабри соли 2022, № 1933</w:t>
      </w:r>
    </w:p>
    <w:p w:rsidR="0014069D" w:rsidRPr="00174C58" w:rsidRDefault="0014069D" w:rsidP="0014069D">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p>
    <w:p w:rsidR="0014069D" w:rsidRPr="00174C58" w:rsidRDefault="0014069D" w:rsidP="0014069D">
      <w:pPr>
        <w:suppressAutoHyphens/>
        <w:autoSpaceDE w:val="0"/>
        <w:autoSpaceDN w:val="0"/>
        <w:adjustRightInd w:val="0"/>
        <w:spacing w:line="288" w:lineRule="auto"/>
        <w:jc w:val="center"/>
        <w:textAlignment w:val="center"/>
        <w:rPr>
          <w:rFonts w:ascii="Palatino Linotype" w:hAnsi="Palatino Linotype" w:cs="FreeSet Tj"/>
          <w:b/>
          <w:bCs/>
          <w:caps/>
          <w:color w:val="000000"/>
          <w:w w:val="70"/>
          <w:sz w:val="32"/>
          <w:szCs w:val="32"/>
        </w:rPr>
      </w:pPr>
      <w:r w:rsidRPr="00174C58">
        <w:rPr>
          <w:rFonts w:ascii="Palatino Linotype" w:hAnsi="Palatino Linotype" w:cs="FreeSet Tj"/>
          <w:b/>
          <w:bCs/>
          <w:color w:val="000000"/>
          <w:w w:val="70"/>
          <w:sz w:val="40"/>
          <w:szCs w:val="40"/>
        </w:rPr>
        <w:t>Қарори</w:t>
      </w:r>
      <w:r w:rsidRPr="00174C58">
        <w:rPr>
          <w:rFonts w:ascii="Palatino Linotype" w:hAnsi="Palatino Linotype" w:cs="FreeSet Tj"/>
          <w:b/>
          <w:bCs/>
          <w:color w:val="000000"/>
          <w:w w:val="70"/>
          <w:sz w:val="40"/>
          <w:szCs w:val="40"/>
          <w:lang w:val="tg-Cyrl-TJ"/>
        </w:rPr>
        <w:t xml:space="preserve"> </w:t>
      </w:r>
      <w:r w:rsidRPr="00174C58">
        <w:rPr>
          <w:rFonts w:ascii="Palatino Linotype" w:hAnsi="Palatino Linotype" w:cs="FreeSet Tj"/>
          <w:b/>
          <w:bCs/>
          <w:color w:val="000000"/>
          <w:w w:val="70"/>
          <w:sz w:val="32"/>
          <w:szCs w:val="32"/>
        </w:rPr>
        <w:t>Маҷлиси миллии</w:t>
      </w:r>
      <w:r w:rsidRPr="00174C58">
        <w:rPr>
          <w:rFonts w:ascii="Palatino Linotype" w:hAnsi="Palatino Linotype" w:cs="FreeSet Tj"/>
          <w:b/>
          <w:bCs/>
          <w:color w:val="000000"/>
          <w:w w:val="70"/>
          <w:sz w:val="32"/>
          <w:szCs w:val="32"/>
          <w:lang w:val="tg-Cyrl-TJ"/>
        </w:rPr>
        <w:t xml:space="preserve"> </w:t>
      </w:r>
      <w:r w:rsidRPr="00174C58">
        <w:rPr>
          <w:rFonts w:ascii="Palatino Linotype" w:hAnsi="Palatino Linotype" w:cs="FreeSet Tj"/>
          <w:b/>
          <w:bCs/>
          <w:color w:val="000000"/>
          <w:w w:val="70"/>
          <w:sz w:val="32"/>
          <w:szCs w:val="32"/>
        </w:rPr>
        <w:t>Маҷлиси Олии Ҷумҳурии Тоҷикистон</w:t>
      </w:r>
    </w:p>
    <w:p w:rsidR="0014069D" w:rsidRPr="00174C58" w:rsidRDefault="0014069D" w:rsidP="0014069D">
      <w:pPr>
        <w:autoSpaceDE w:val="0"/>
        <w:autoSpaceDN w:val="0"/>
        <w:adjustRightInd w:val="0"/>
        <w:spacing w:line="288" w:lineRule="auto"/>
        <w:jc w:val="center"/>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Оид ба Қонуни Ҷумҳурии Тоҷикистон «Дар бораи ворид намудани тағйиру иловаҳо ба Кодекси фазои ҳавоии Ҷумҳурии Тоҷикистон»</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pacing w:val="-2"/>
          <w:sz w:val="18"/>
          <w:szCs w:val="18"/>
        </w:rPr>
      </w:pPr>
      <w:r w:rsidRPr="00174C58">
        <w:rPr>
          <w:rFonts w:ascii="Palatino Linotype" w:hAnsi="Palatino Linotype" w:cs="Arial Tj"/>
          <w:color w:val="000000"/>
          <w:spacing w:val="-2"/>
          <w:sz w:val="18"/>
          <w:szCs w:val="1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«Дар бораи ворид намудани тағйиру иловаҳо ба Кодекси фазои ҳавоии Ҷумҳурии Тоҷикистон»-ро баррасӣ намуда, </w:t>
      </w:r>
      <w:r w:rsidRPr="00174C58">
        <w:rPr>
          <w:rFonts w:ascii="Palatino Linotype" w:hAnsi="Palatino Linotype" w:cs="Arial Tj"/>
          <w:b/>
          <w:bCs/>
          <w:color w:val="000000"/>
          <w:spacing w:val="-2"/>
          <w:sz w:val="18"/>
          <w:szCs w:val="18"/>
        </w:rPr>
        <w:t>қарор мекунад:</w:t>
      </w:r>
      <w:r w:rsidRPr="00174C58">
        <w:rPr>
          <w:rFonts w:ascii="Palatino Linotype" w:hAnsi="Palatino Linotype" w:cs="Arial Tj"/>
          <w:color w:val="000000"/>
          <w:spacing w:val="-2"/>
          <w:sz w:val="18"/>
          <w:szCs w:val="18"/>
        </w:rPr>
        <w:t xml:space="preserve"> </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Қонуни Ҷумҳурии Тоҷикистон «Дар бораи ворид намудани тағйиру иловаҳо ба Кодекси фазои ҳавоии Ҷумҳурии Тоҷикистон» ҷонибдорӣ карда шавад.</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p>
    <w:p w:rsidR="0014069D" w:rsidRPr="00174C58" w:rsidRDefault="0014069D" w:rsidP="0014069D">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Раиси Маҷлиси миллии </w:t>
      </w:r>
    </w:p>
    <w:p w:rsidR="0014069D" w:rsidRPr="00174C58" w:rsidRDefault="0014069D" w:rsidP="0014069D">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Маҷлиси Олии Ҷумҳурии Тоҷикистон </w:t>
      </w:r>
      <w:r w:rsidRPr="00174C58">
        <w:rPr>
          <w:rFonts w:ascii="Palatino Linotype" w:hAnsi="Palatino Linotype" w:cs="Arial Tj"/>
          <w:b/>
          <w:bCs/>
          <w:color w:val="000000"/>
          <w:sz w:val="18"/>
          <w:szCs w:val="18"/>
        </w:rPr>
        <w:tab/>
        <w:t xml:space="preserve">Рустами </w:t>
      </w:r>
      <w:r w:rsidRPr="00174C58">
        <w:rPr>
          <w:rFonts w:ascii="Palatino Linotype" w:hAnsi="Palatino Linotype" w:cs="Arial Tj"/>
          <w:b/>
          <w:bCs/>
          <w:caps/>
          <w:color w:val="000000"/>
          <w:sz w:val="18"/>
          <w:szCs w:val="18"/>
        </w:rPr>
        <w:t>Эмомалӣ</w:t>
      </w:r>
    </w:p>
    <w:p w:rsidR="0014069D" w:rsidRPr="00174C58" w:rsidRDefault="0014069D" w:rsidP="0014069D">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ш. Душанбе, 16 декабри соли 2022, № 342</w:t>
      </w:r>
    </w:p>
    <w:p w:rsidR="0014069D" w:rsidRPr="00174C58" w:rsidRDefault="0014069D" w:rsidP="0014069D">
      <w:pPr>
        <w:autoSpaceDE w:val="0"/>
        <w:autoSpaceDN w:val="0"/>
        <w:adjustRightInd w:val="0"/>
        <w:spacing w:line="288" w:lineRule="auto"/>
        <w:jc w:val="both"/>
        <w:textAlignment w:val="center"/>
        <w:rPr>
          <w:rFonts w:ascii="Palatino Linotype" w:hAnsi="Palatino Linotype" w:cs="Arial Tj"/>
          <w:b/>
          <w:bCs/>
          <w:color w:val="000000"/>
          <w:sz w:val="18"/>
          <w:szCs w:val="18"/>
        </w:rPr>
      </w:pPr>
    </w:p>
    <w:p w:rsidR="0014069D" w:rsidRPr="00174C58" w:rsidRDefault="0014069D" w:rsidP="0014069D">
      <w:pPr>
        <w:suppressAutoHyphens/>
        <w:autoSpaceDE w:val="0"/>
        <w:autoSpaceDN w:val="0"/>
        <w:adjustRightInd w:val="0"/>
        <w:spacing w:line="288" w:lineRule="auto"/>
        <w:jc w:val="center"/>
        <w:textAlignment w:val="center"/>
        <w:rPr>
          <w:rFonts w:ascii="Palatino Linotype" w:hAnsi="Palatino Linotype" w:cs="FreeSet Tj"/>
          <w:b/>
          <w:bCs/>
          <w:caps/>
          <w:color w:val="000000"/>
          <w:w w:val="70"/>
          <w:sz w:val="32"/>
          <w:szCs w:val="32"/>
        </w:rPr>
      </w:pPr>
      <w:r w:rsidRPr="00174C58">
        <w:rPr>
          <w:rFonts w:ascii="Palatino Linotype" w:hAnsi="Palatino Linotype" w:cs="FreeSet Tj"/>
          <w:b/>
          <w:bCs/>
          <w:color w:val="000000"/>
          <w:w w:val="70"/>
          <w:sz w:val="40"/>
          <w:szCs w:val="40"/>
        </w:rPr>
        <w:t>Қарори</w:t>
      </w:r>
      <w:r w:rsidRPr="00174C58">
        <w:rPr>
          <w:rFonts w:ascii="Palatino Linotype" w:hAnsi="Palatino Linotype" w:cs="FreeSet Tj"/>
          <w:b/>
          <w:bCs/>
          <w:color w:val="000000"/>
          <w:w w:val="70"/>
          <w:sz w:val="40"/>
          <w:szCs w:val="40"/>
          <w:lang w:val="tg-Cyrl-TJ"/>
        </w:rPr>
        <w:t xml:space="preserve"> </w:t>
      </w:r>
      <w:r w:rsidRPr="00174C58">
        <w:rPr>
          <w:rFonts w:ascii="Palatino Linotype" w:hAnsi="Palatino Linotype" w:cs="FreeSet Tj"/>
          <w:b/>
          <w:bCs/>
          <w:color w:val="000000"/>
          <w:w w:val="70"/>
          <w:sz w:val="32"/>
          <w:szCs w:val="32"/>
        </w:rPr>
        <w:t>Маҷлиси намояндагони</w:t>
      </w:r>
      <w:r w:rsidRPr="00174C58">
        <w:rPr>
          <w:rFonts w:ascii="Palatino Linotype" w:hAnsi="Palatino Linotype" w:cs="FreeSet Tj"/>
          <w:b/>
          <w:bCs/>
          <w:color w:val="000000"/>
          <w:w w:val="70"/>
          <w:sz w:val="32"/>
          <w:szCs w:val="32"/>
          <w:lang w:val="tg-Cyrl-TJ"/>
        </w:rPr>
        <w:t xml:space="preserve"> </w:t>
      </w:r>
      <w:r w:rsidRPr="00174C58">
        <w:rPr>
          <w:rFonts w:ascii="Palatino Linotype" w:hAnsi="Palatino Linotype" w:cs="FreeSet Tj"/>
          <w:b/>
          <w:bCs/>
          <w:color w:val="000000"/>
          <w:w w:val="70"/>
          <w:sz w:val="32"/>
          <w:szCs w:val="32"/>
        </w:rPr>
        <w:t>Маҷлиси Олии Ҷумҳурии Тоҷикистон</w:t>
      </w:r>
    </w:p>
    <w:p w:rsidR="0014069D" w:rsidRPr="00174C58" w:rsidRDefault="0014069D" w:rsidP="0014069D">
      <w:pPr>
        <w:autoSpaceDE w:val="0"/>
        <w:autoSpaceDN w:val="0"/>
        <w:adjustRightInd w:val="0"/>
        <w:spacing w:line="288" w:lineRule="auto"/>
        <w:jc w:val="center"/>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Оид ба қабул кардани Қонуни Ҷумҳурии Тоҷикистон «Дар бораи ворид намудани тағйиру иловаҳо ба Кодекси фазои ҳавоии Ҷумҳурии Тоҷикистон»</w:t>
      </w:r>
    </w:p>
    <w:p w:rsidR="0014069D" w:rsidRPr="00174C58" w:rsidRDefault="0014069D" w:rsidP="0014069D">
      <w:pPr>
        <w:autoSpaceDE w:val="0"/>
        <w:autoSpaceDN w:val="0"/>
        <w:adjustRightInd w:val="0"/>
        <w:spacing w:line="288" w:lineRule="auto"/>
        <w:jc w:val="center"/>
        <w:textAlignment w:val="center"/>
        <w:rPr>
          <w:rFonts w:ascii="Palatino Linotype" w:hAnsi="Palatino Linotype" w:cs="Arial Tj"/>
          <w:color w:val="000000"/>
          <w:sz w:val="18"/>
          <w:szCs w:val="18"/>
        </w:rPr>
      </w:pP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Мутобиқи моддаи 60 Конститутсияи Ҷумҳурии Тоҷикистон Маҷлиси намояндагони Маҷлиси Олии Ҷумҳурии Тоҷикистон </w:t>
      </w:r>
      <w:r w:rsidRPr="00174C58">
        <w:rPr>
          <w:rFonts w:ascii="Palatino Linotype" w:hAnsi="Palatino Linotype" w:cs="Arial Tj"/>
          <w:b/>
          <w:bCs/>
          <w:color w:val="000000"/>
          <w:sz w:val="18"/>
          <w:szCs w:val="18"/>
        </w:rPr>
        <w:t>қарор мекунад:</w:t>
      </w:r>
    </w:p>
    <w:p w:rsidR="0014069D" w:rsidRPr="00174C58" w:rsidRDefault="0014069D" w:rsidP="0014069D">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lastRenderedPageBreak/>
        <w:t>Қонуни Ҷумҳурии Тоҷикистон «Дар бораи ворид намудани тағйиру иловаҳо ба Кодекси фазои ҳавоии Ҷумҳурии Тоҷикистон» қабул карда шавад.</w:t>
      </w:r>
    </w:p>
    <w:p w:rsidR="0014069D" w:rsidRPr="00174C58" w:rsidRDefault="0014069D" w:rsidP="0014069D">
      <w:pPr>
        <w:autoSpaceDE w:val="0"/>
        <w:autoSpaceDN w:val="0"/>
        <w:adjustRightInd w:val="0"/>
        <w:spacing w:line="288" w:lineRule="auto"/>
        <w:jc w:val="both"/>
        <w:textAlignment w:val="center"/>
        <w:rPr>
          <w:rFonts w:ascii="Palatino Linotype" w:hAnsi="Palatino Linotype" w:cs="Arial Tj"/>
          <w:b/>
          <w:bCs/>
          <w:color w:val="000000"/>
          <w:sz w:val="18"/>
          <w:szCs w:val="18"/>
        </w:rPr>
      </w:pPr>
    </w:p>
    <w:p w:rsidR="0014069D" w:rsidRPr="00174C58" w:rsidRDefault="0014069D" w:rsidP="0014069D">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Раиси Маҷлиси намояндагони </w:t>
      </w:r>
    </w:p>
    <w:p w:rsidR="0014069D" w:rsidRPr="00174C58" w:rsidRDefault="0014069D" w:rsidP="0014069D">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Маҷлиси Олии Ҷумҳурии Тоҷикистон            М. </w:t>
      </w:r>
      <w:r w:rsidRPr="00174C58">
        <w:rPr>
          <w:rFonts w:ascii="Palatino Linotype" w:hAnsi="Palatino Linotype" w:cs="Arial Tj"/>
          <w:b/>
          <w:bCs/>
          <w:caps/>
          <w:color w:val="000000"/>
          <w:sz w:val="18"/>
          <w:szCs w:val="18"/>
        </w:rPr>
        <w:t>Зокирзода</w:t>
      </w:r>
    </w:p>
    <w:p w:rsidR="002E3B67" w:rsidRDefault="0014069D" w:rsidP="0014069D">
      <w:r w:rsidRPr="00174C58">
        <w:rPr>
          <w:rFonts w:ascii="Palatino Linotype" w:hAnsi="Palatino Linotype" w:cs="Arial Tj"/>
          <w:b/>
          <w:bCs/>
          <w:color w:val="000000"/>
          <w:spacing w:val="-4"/>
          <w:sz w:val="18"/>
          <w:szCs w:val="18"/>
        </w:rPr>
        <w:t>ш. Душанбе, 18 ноябри соли 2022, № 910</w:t>
      </w:r>
    </w:p>
    <w:sectPr w:rsidR="002E3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eeSet Tj">
    <w:panose1 w:val="02070300020205020404"/>
    <w:charset w:val="CC"/>
    <w:family w:val="roman"/>
    <w:pitch w:val="variable"/>
    <w:sig w:usb0="00000201" w:usb1="00000000" w:usb2="00000000" w:usb3="00000000" w:csb0="00000004" w:csb1="00000000"/>
  </w:font>
  <w:font w:name="Arial Tj">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9D"/>
    <w:rsid w:val="0014069D"/>
    <w:rsid w:val="002E3B67"/>
    <w:rsid w:val="00384082"/>
    <w:rsid w:val="0039643F"/>
    <w:rsid w:val="00602178"/>
    <w:rsid w:val="006A2F01"/>
    <w:rsid w:val="006F422F"/>
    <w:rsid w:val="00BF1ED7"/>
    <w:rsid w:val="00CE138B"/>
    <w:rsid w:val="00E3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C68F"/>
  <w15:chartTrackingRefBased/>
  <w15:docId w15:val="{7DDAE567-7F8C-4116-A0D0-1AA2C3EC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Tj" w:eastAsiaTheme="minorHAnsi" w:hAnsi="Times New Roman Tj" w:cstheme="minorBidi"/>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6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Qabulgoh</dc:creator>
  <cp:keywords/>
  <dc:description/>
  <cp:lastModifiedBy>Qabulgoh</cp:lastModifiedBy>
  <cp:revision>1</cp:revision>
  <dcterms:created xsi:type="dcterms:W3CDTF">2022-12-28T13:05:00Z</dcterms:created>
  <dcterms:modified xsi:type="dcterms:W3CDTF">2022-12-28T13:06:00Z</dcterms:modified>
</cp:coreProperties>
</file>