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B37" w:rsidRDefault="00894B37" w:rsidP="00894B37">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174C58">
        <w:rPr>
          <w:rFonts w:ascii="Palatino Linotype" w:hAnsi="Palatino Linotype" w:cs="FreeSet Tj"/>
          <w:b/>
          <w:bCs/>
          <w:color w:val="000000"/>
          <w:w w:val="70"/>
          <w:sz w:val="72"/>
          <w:szCs w:val="72"/>
        </w:rPr>
        <w:t>Қонуни Ҷумҳурии Тоҷикистон</w:t>
      </w:r>
    </w:p>
    <w:p w:rsidR="00894B37" w:rsidRPr="00174C58" w:rsidRDefault="00894B37" w:rsidP="00894B37">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rPr>
      </w:pPr>
      <w:bookmarkStart w:id="0" w:name="_GoBack"/>
      <w:bookmarkEnd w:id="0"/>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Arial Tj"/>
          <w:b/>
          <w:bCs/>
          <w:color w:val="000000"/>
          <w:position w:val="-8"/>
          <w:sz w:val="34"/>
          <w:szCs w:val="34"/>
        </w:rPr>
        <w:t>Дар бораи ворид намудани тағйиру иловаҳо ба Кодекси мурофиавии граждании Ҷумҳурии Тоҷикистон</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Моддаи 1.</w:t>
      </w:r>
      <w:r w:rsidRPr="00174C58">
        <w:rPr>
          <w:rFonts w:ascii="Palatino Linotype" w:hAnsi="Palatino Linotype" w:cs="Arial Tj"/>
          <w:color w:val="000000"/>
          <w:sz w:val="18"/>
          <w:szCs w:val="18"/>
        </w:rPr>
        <w:t xml:space="preserve"> Ба Кодекси мурофиавии граждании Ҷумҳурии Тоҷикистон, ки бо Қонуни Ҷумҳурии Тоҷикистон аз 5 январи соли 2008 қабул гардидааст (Ахбори Маҷлиси Олии Ҷумҳурии Тоҷикистон, с. </w:t>
      </w:r>
      <w:proofErr w:type="gramStart"/>
      <w:r w:rsidRPr="00174C58">
        <w:rPr>
          <w:rFonts w:ascii="Palatino Linotype" w:hAnsi="Palatino Linotype" w:cs="Arial Tj"/>
          <w:color w:val="000000"/>
          <w:sz w:val="18"/>
          <w:szCs w:val="18"/>
        </w:rPr>
        <w:t>2008,  №</w:t>
      </w:r>
      <w:proofErr w:type="gramEnd"/>
      <w:r w:rsidRPr="00174C58">
        <w:rPr>
          <w:rFonts w:ascii="Palatino Linotype" w:hAnsi="Palatino Linotype" w:cs="Arial Tj"/>
          <w:color w:val="000000"/>
          <w:sz w:val="18"/>
          <w:szCs w:val="18"/>
        </w:rPr>
        <w:t>1, қ. 1, мод. 6, мод. 7; с. 2010, №1, мод. 6; с. 2012, №7, мод. 721; с. 2014, №7, қ. 1, мод. 388; №12, мод. 821; с. 2015, №11, мод. 953; с. 2016, №</w:t>
      </w:r>
      <w:proofErr w:type="gramStart"/>
      <w:r w:rsidRPr="00174C58">
        <w:rPr>
          <w:rFonts w:ascii="Palatino Linotype" w:hAnsi="Palatino Linotype" w:cs="Arial Tj"/>
          <w:color w:val="000000"/>
          <w:sz w:val="18"/>
          <w:szCs w:val="18"/>
        </w:rPr>
        <w:t xml:space="preserve">5,   </w:t>
      </w:r>
      <w:proofErr w:type="gramEnd"/>
      <w:r w:rsidRPr="00174C58">
        <w:rPr>
          <w:rFonts w:ascii="Palatino Linotype" w:hAnsi="Palatino Linotype" w:cs="Arial Tj"/>
          <w:color w:val="000000"/>
          <w:sz w:val="18"/>
          <w:szCs w:val="18"/>
        </w:rPr>
        <w:t>мод. 360; с. 2018, №1, мод. 6; с. 2019, №1, мод. 6, №6, мод. 314; с. 2020, №7-9, мод. 603; с. 2021, №12, қ. 2, мод. 691; с. 2022, №1-3, мод. 6, мод. 7, №7, мод. 440), тағйиру иловаҳои зерин ворид карда шаванд: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Дар моддаи 4:</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 матни модда қисми 1 ҳисобида шуда, рақамгузорӣ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 қисми 2 бо мазмуни зерин илова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«2. Аризаи даъвогӣ (ариза), шикоят, эътироз, дархост, пешниҳод ва дигар ҳуҷҷатҳои замимашаванда метавонанд ба судҳо дар шакли хаттӣ ва (ё) электронӣ пешниҳод карда шаванд. Ҳуҷҷатҳо дар шакли электронӣ бо тартиби муқаррарнамудаи қонунгузории Ҷумҳурии </w:t>
      </w:r>
      <w:proofErr w:type="gramStart"/>
      <w:r w:rsidRPr="00174C58">
        <w:rPr>
          <w:rFonts w:ascii="Palatino Linotype" w:hAnsi="Palatino Linotype" w:cs="Arial Tj"/>
          <w:color w:val="000000"/>
          <w:sz w:val="18"/>
          <w:szCs w:val="18"/>
        </w:rPr>
        <w:t>Тоҷикистон  бо</w:t>
      </w:r>
      <w:proofErr w:type="gramEnd"/>
      <w:r w:rsidRPr="00174C58">
        <w:rPr>
          <w:rFonts w:ascii="Palatino Linotype" w:hAnsi="Palatino Linotype" w:cs="Arial Tj"/>
          <w:color w:val="000000"/>
          <w:sz w:val="18"/>
          <w:szCs w:val="18"/>
        </w:rPr>
        <w:t xml:space="preserve"> имзои электронии рақамии тасдиқшуда дар сомонаи судҳо ҷойгир карда мешаванд.».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2. Дар моддаи 11:</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ба қисми 5 ҷумлаи дуюм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«Дар маҷлиси пӯшидаи судӣ истифодаи воситаҳои сабти аудио ва   видео иҷозат дода намешавад.»;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дар қисми 7 калимаҳои «ва телевизион» ба калимаҳои </w:t>
      </w:r>
      <w:proofErr w:type="gramStart"/>
      <w:r w:rsidRPr="00174C58">
        <w:rPr>
          <w:rFonts w:ascii="Palatino Linotype" w:hAnsi="Palatino Linotype" w:cs="Calibri"/>
          <w:color w:val="000000"/>
          <w:sz w:val="18"/>
          <w:szCs w:val="18"/>
        </w:rPr>
        <w:t>­</w:t>
      </w:r>
      <w:r w:rsidRPr="00174C58">
        <w:rPr>
          <w:rFonts w:ascii="Palatino Linotype" w:hAnsi="Palatino Linotype" w:cs="Arial Tj"/>
          <w:color w:val="000000"/>
          <w:sz w:val="18"/>
          <w:szCs w:val="18"/>
        </w:rPr>
        <w:t>«</w:t>
      </w:r>
      <w:proofErr w:type="gramEnd"/>
      <w:r w:rsidRPr="00174C58">
        <w:rPr>
          <w:rFonts w:ascii="Palatino Linotype" w:hAnsi="Palatino Linotype" w:cs="Arial Tj"/>
          <w:color w:val="000000"/>
          <w:sz w:val="18"/>
          <w:szCs w:val="18"/>
        </w:rPr>
        <w:t>, телевизион ва шабакаи интернет» иваз карда шаванд.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3. Ба моддаи 14 қисми 6 бо мазмуни зерин илова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«6. Санадҳои судӣ дар шакли хаттӣ қабул карда мешаванд. Санадҳои судӣ, ба истиснои санадҳои судие, ки дорои маълумоти сирри давлатӣ ё дигар сирри бо қонун ҳифзшаванда мебошанд ва (ё) парванда дар мурофиаи пӯшидаи судӣ баррасӣ гардида бошад, метавонанд дар шакли электронӣ тартиб дода шаванд, ки онҳо бо имзои электронии рақамии судя ё ҳайати суд тасдиқ карда мешаванд. Ҳангоми дар шакли электронӣ тартиб додани санади судӣ нусхаи он иловатан дар шакли коғазӣ чоп карда 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4. Ба қисми 1 моддаи 37 сархати ҳафтум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ба суд ҳуҷҷатҳоро дар шакли электронӣ, аз ҷумла ҳуҷҷатҳоеро, ки бо тартиби муқаррарнамудаи қонунгузории Ҷумҳурии Тоҷикистон бо имзои электронии рақамӣ тасдиқ карда шудаанд, бо ҷойгир намудани онҳо дар сомонаи суд </w:t>
      </w:r>
      <w:proofErr w:type="gramStart"/>
      <w:r w:rsidRPr="00174C58">
        <w:rPr>
          <w:rFonts w:ascii="Palatino Linotype" w:hAnsi="Palatino Linotype" w:cs="Arial Tj"/>
          <w:color w:val="000000"/>
          <w:sz w:val="18"/>
          <w:szCs w:val="18"/>
        </w:rPr>
        <w:t>пешниҳод  намоянд</w:t>
      </w:r>
      <w:proofErr w:type="gramEnd"/>
      <w:r w:rsidRPr="00174C58">
        <w:rPr>
          <w:rFonts w:ascii="Palatino Linotype" w:hAnsi="Palatino Linotype" w:cs="Arial Tj"/>
          <w:color w:val="000000"/>
          <w:sz w:val="18"/>
          <w:szCs w:val="18"/>
        </w:rPr>
        <w:t>;».</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5. Ба қисми 2 моддаи 57 ҷумлаи дуюм бо мазмуни зерин илова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«Ба сифати далел истифода намудани сабти видеоии баёноти шахсони иштироккунандаи парванда, инчунин шахсони дигар, ки дар баррасии парвандаҳо дар судҳо бо тартиби пешбининамудаи моддаи 158</w:t>
      </w:r>
      <w:r w:rsidRPr="00174C58">
        <w:rPr>
          <w:rFonts w:ascii="Palatino Linotype" w:hAnsi="Palatino Linotype" w:cs="Arial Tj"/>
          <w:color w:val="000000"/>
          <w:sz w:val="18"/>
          <w:szCs w:val="18"/>
          <w:vertAlign w:val="superscript"/>
        </w:rPr>
        <w:t>1</w:t>
      </w:r>
      <w:r w:rsidRPr="00174C58">
        <w:rPr>
          <w:rFonts w:ascii="Palatino Linotype" w:hAnsi="Palatino Linotype" w:cs="Arial Tj"/>
          <w:color w:val="000000"/>
          <w:sz w:val="18"/>
          <w:szCs w:val="18"/>
        </w:rPr>
        <w:t xml:space="preserve"> Кодекси мазкур гирифта шудааст, иҷозат дода 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6. Дар моддаи 74: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ба қисми 1 пас аз калимаи «электронӣ» </w:t>
      </w:r>
      <w:proofErr w:type="gramStart"/>
      <w:r w:rsidRPr="00174C58">
        <w:rPr>
          <w:rFonts w:ascii="Palatino Linotype" w:hAnsi="Palatino Linotype" w:cs="Arial Tj"/>
          <w:color w:val="000000"/>
          <w:sz w:val="18"/>
          <w:szCs w:val="18"/>
        </w:rPr>
        <w:t>калимаҳои  «</w:t>
      </w:r>
      <w:proofErr w:type="gramEnd"/>
      <w:r w:rsidRPr="00174C58">
        <w:rPr>
          <w:rFonts w:ascii="Palatino Linotype" w:hAnsi="Palatino Linotype" w:cs="Arial Tj"/>
          <w:color w:val="000000"/>
          <w:sz w:val="18"/>
          <w:szCs w:val="18"/>
        </w:rPr>
        <w:t xml:space="preserve">, тавассути истифодаи шабакаи интернет» илова карда шаванд;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ба қисми 3 ҷумлаи дуюм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«Агар нусхаи ҳуҷҷатҳо ба суд дар шакли электронӣ пешниҳод гардида бошанд, суд метавонад пешниҳоди нусхаи аслии ин ҳуҷҷатҳоро талаб намояд.».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7. Сархати якуми қисми 1 моддаи 116 дар таҳрири зерин ифода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ном ва суроға, сомона, рақами телефон ва суроғаи почтаи электронии суд;».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Дар моддаи 118:</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lastRenderedPageBreak/>
        <w:t xml:space="preserve">- ба номи модда пас аз калимаи «Супурдани» аломат ва </w:t>
      </w:r>
      <w:proofErr w:type="gramStart"/>
      <w:r w:rsidRPr="00174C58">
        <w:rPr>
          <w:rFonts w:ascii="Palatino Linotype" w:hAnsi="Palatino Linotype" w:cs="Arial Tj"/>
          <w:color w:val="000000"/>
          <w:sz w:val="18"/>
          <w:szCs w:val="18"/>
        </w:rPr>
        <w:t>калимаи  «</w:t>
      </w:r>
      <w:proofErr w:type="gramEnd"/>
      <w:r w:rsidRPr="00174C58">
        <w:rPr>
          <w:rFonts w:ascii="Palatino Linotype" w:hAnsi="Palatino Linotype" w:cs="Arial Tj"/>
          <w:color w:val="000000"/>
          <w:sz w:val="18"/>
          <w:szCs w:val="18"/>
        </w:rPr>
        <w:t>(ирсоли)» илова карда шаванд;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қисми 4 бо мазмуни зерин илова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«4. Хабарнома ё даъвати судӣ ба шахсони иштирокчии парванда ва иштирокчиёни дигари мурофиаи судӣ ҳамчунин бо ҷойгир намудани он дар сомонаи суд ирсол мегардад. Ҳамзамон суд шахсони иштирокчии парванда ва иштирокчиёни дигари мурофиаи судиро оид ба вақт ва маҳалли маҷлиси судӣ ва амалҳои алоҳидаи мурофиавӣ ба воситаи ирсоли телефонограмма, телеграмма, алоқаи факсимилӣ, почтаи электронӣ ва воситаҳои дигари </w:t>
      </w:r>
      <w:proofErr w:type="gramStart"/>
      <w:r w:rsidRPr="00174C58">
        <w:rPr>
          <w:rFonts w:ascii="Palatino Linotype" w:hAnsi="Palatino Linotype" w:cs="Arial Tj"/>
          <w:color w:val="000000"/>
          <w:sz w:val="18"/>
          <w:szCs w:val="18"/>
        </w:rPr>
        <w:t>алоқа  хабардор</w:t>
      </w:r>
      <w:proofErr w:type="gramEnd"/>
      <w:r w:rsidRPr="00174C58">
        <w:rPr>
          <w:rFonts w:ascii="Palatino Linotype" w:hAnsi="Palatino Linotype" w:cs="Arial Tj"/>
          <w:color w:val="000000"/>
          <w:sz w:val="18"/>
          <w:szCs w:val="18"/>
        </w:rPr>
        <w:t xml:space="preserve"> менамояд.».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9. Ба қисми 3 моддаи 121 пас аз калимаи «насб» калимаҳои «ва дар сомонаи судҳо ҷойгир» илова карда шаванд.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10. Ба қисми 1 моддаи 134 ҷумлаи дуюм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«Аризаи даъвогӣ мумкин аст ба судҳо дар шакли электронӣ тавассути ҷойгир намудани он дар сомонаи судҳо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11. Ба моддаи 142 ҷумлаи сеюм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«Чунин ариза мумкин аст ба суд дар шакли электронӣ бо ҷойгир намудани он дар сомонаи суд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12. Ба қисми 3 моддаи 149 ҷумлаи дуюм бо мазмуни зерин илова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«Чунин ариза мумкин аст ба суд дар шакли электронӣ бо ҷойгир намудани он дар сомонаи суд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13. Моддаи 158</w:t>
      </w:r>
      <w:r w:rsidRPr="00174C58">
        <w:rPr>
          <w:rFonts w:ascii="Palatino Linotype" w:hAnsi="Palatino Linotype" w:cs="Arial Tj"/>
          <w:color w:val="000000"/>
          <w:sz w:val="18"/>
          <w:szCs w:val="18"/>
          <w:vertAlign w:val="superscript"/>
        </w:rPr>
        <w:t xml:space="preserve">1 </w:t>
      </w:r>
      <w:r w:rsidRPr="00174C58">
        <w:rPr>
          <w:rFonts w:ascii="Palatino Linotype" w:hAnsi="Palatino Linotype" w:cs="Arial Tj"/>
          <w:color w:val="000000"/>
          <w:sz w:val="18"/>
          <w:szCs w:val="18"/>
        </w:rPr>
        <w:t xml:space="preserve">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r w:rsidRPr="00174C58">
        <w:rPr>
          <w:rFonts w:ascii="Palatino Linotype" w:hAnsi="Palatino Linotype" w:cs="Arial Tj"/>
          <w:color w:val="000000"/>
          <w:sz w:val="18"/>
          <w:szCs w:val="18"/>
        </w:rPr>
        <w:t>«</w:t>
      </w:r>
      <w:r w:rsidRPr="00174C58">
        <w:rPr>
          <w:rFonts w:ascii="Palatino Linotype" w:hAnsi="Palatino Linotype" w:cs="Arial Tj"/>
          <w:b/>
          <w:bCs/>
          <w:color w:val="000000"/>
          <w:sz w:val="18"/>
          <w:szCs w:val="18"/>
        </w:rPr>
        <w:t>Моддаи 158</w:t>
      </w:r>
      <w:r w:rsidRPr="00174C58">
        <w:rPr>
          <w:rFonts w:ascii="Palatino Linotype" w:hAnsi="Palatino Linotype" w:cs="Arial Tj"/>
          <w:b/>
          <w:bCs/>
          <w:color w:val="000000"/>
          <w:sz w:val="18"/>
          <w:szCs w:val="18"/>
          <w:vertAlign w:val="superscript"/>
        </w:rPr>
        <w:t>1</w:t>
      </w:r>
      <w:r w:rsidRPr="00174C58">
        <w:rPr>
          <w:rFonts w:ascii="Palatino Linotype" w:hAnsi="Palatino Linotype" w:cs="Arial Tj"/>
          <w:b/>
          <w:bCs/>
          <w:color w:val="000000"/>
          <w:sz w:val="18"/>
          <w:szCs w:val="18"/>
        </w:rPr>
        <w:t>. Иштирок дар маҷлиси судӣ тариқи реҷаи мустақим (онлайн)</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 Шахсони иштирокчии </w:t>
      </w:r>
      <w:proofErr w:type="gramStart"/>
      <w:r w:rsidRPr="00174C58">
        <w:rPr>
          <w:rFonts w:ascii="Palatino Linotype" w:hAnsi="Palatino Linotype" w:cs="Arial Tj"/>
          <w:color w:val="000000"/>
          <w:sz w:val="18"/>
          <w:szCs w:val="18"/>
        </w:rPr>
        <w:t>парванда  ҳуқуқ</w:t>
      </w:r>
      <w:proofErr w:type="gramEnd"/>
      <w:r w:rsidRPr="00174C58">
        <w:rPr>
          <w:rFonts w:ascii="Palatino Linotype" w:hAnsi="Palatino Linotype" w:cs="Arial Tj"/>
          <w:color w:val="000000"/>
          <w:sz w:val="18"/>
          <w:szCs w:val="18"/>
        </w:rPr>
        <w:t xml:space="preserve"> доранд дар маҷлиси судӣ тариқи реҷаи мустақим (онлайн) иштирок кунанд, агар онҳо дар ин хусус дархост намуда бошанд ва имконияти техникии баргузор намудани он дар суд мавҷуд бошад.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2. Судҳои дахлдори маҳалли истиқомат, маҳалли будубош ва (ё) маҳалли </w:t>
      </w:r>
      <w:proofErr w:type="gramStart"/>
      <w:r w:rsidRPr="00174C58">
        <w:rPr>
          <w:rFonts w:ascii="Palatino Linotype" w:hAnsi="Palatino Linotype" w:cs="Arial Tj"/>
          <w:color w:val="000000"/>
          <w:sz w:val="18"/>
          <w:szCs w:val="18"/>
        </w:rPr>
        <w:t>ҷойгиршавии  шахсони</w:t>
      </w:r>
      <w:proofErr w:type="gramEnd"/>
      <w:r w:rsidRPr="00174C58">
        <w:rPr>
          <w:rFonts w:ascii="Palatino Linotype" w:hAnsi="Palatino Linotype" w:cs="Arial Tj"/>
          <w:color w:val="000000"/>
          <w:sz w:val="18"/>
          <w:szCs w:val="18"/>
        </w:rPr>
        <w:t xml:space="preserve"> иштирокчии парванда, намояндагони онҳо, ҳамчунин шоҳидон, коршиносон, мутахассисон ва тарҷумонҳо барои баргузории мурофиаи судӣ тариқи реҷаи мустақим (онлайн) мусоидат менамоянд. Барои таъмини иштироки шахсоне, ки дар тавқифгоҳи нигаҳдории муваққатӣ, тавқифгоҳи тафтишотӣ ва (ё) муассисаҳои тарбиявию ислоҳӣ қарор доранд, дар мурофиаи судӣ мумкин аст аз алоқаи </w:t>
      </w:r>
      <w:proofErr w:type="gramStart"/>
      <w:r w:rsidRPr="00174C58">
        <w:rPr>
          <w:rFonts w:ascii="Palatino Linotype" w:hAnsi="Palatino Linotype" w:cs="Arial Tj"/>
          <w:color w:val="000000"/>
          <w:sz w:val="18"/>
          <w:szCs w:val="18"/>
        </w:rPr>
        <w:t>видеоии  ин</w:t>
      </w:r>
      <w:proofErr w:type="gramEnd"/>
      <w:r w:rsidRPr="00174C58">
        <w:rPr>
          <w:rFonts w:ascii="Palatino Linotype" w:hAnsi="Palatino Linotype" w:cs="Arial Tj"/>
          <w:color w:val="000000"/>
          <w:sz w:val="18"/>
          <w:szCs w:val="18"/>
        </w:rPr>
        <w:t xml:space="preserve"> муассисаҳо истифода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Суде, ки дар маҷлиси судӣ иштироки шахсони иштирокчии парванда, намояндаи онҳо, ҳамчунин шоҳидон, коршиносон, мутахассисон ва тарҷумонҳоро тариқи реҷаи мустақим (онлайн) таъмин менамояд, ба суд ҳозир шудани онҳоро санҷида, шахсияти онҳоро муайян мекунад, ба шоҳидон, экспертҳо, тарҷумонҳо дар бораи аз ҷониби суди баррасикунандаи парванда фаҳмондани ҳуқуқу ӯҳдадориҳои онҳо ва огоҳ намудан дар бораи пешбинӣ гардидани ҷавобгарӣ барои аз ҷониби онҳо вайрон кардани қонун, забонхат мегирад. Забонхат на дертар аз рӯзи дигари гирифтани он ба суде, ки парвандаро баррасӣ менамояд, барои ҳамроҳ намудан ба протоколи маҷлиси судӣ ирсол карда 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4. Агар барои таъмини иштироки шахсони дар тавқифгоҳи нигаҳдории муваққатӣ, тавқифгоҳи тафтишотӣ ва (ё) муассисаҳои тарбиявию ислоҳӣ қарордошта дар реҷаи мустақим алоқаи видеоии ин муассисаҳо истифода шавад, гирифтани забонхат аз ин шахсон дар бораи аз ҷониби суди баррасикунандаи парванда фаҳмонидани ҳуқуқу ӯҳдадориҳои онҳо ва огоҳ намудан дар бораи ҷавобгарӣ барои қонунвайронкунӣ аз ҷониби онҳо, бо мусоидати маъмурияти ин муассисаҳо амалӣ карда 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14. Ба қисми 1 моддаи 201 ҷумлаҳои дуюм ва сеюм бо мазмуни зерин илова карда шаванд: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«Ҳалнома дар шакли хаттӣ (коғазӣ ва (ё) электронӣ) тартиб дода мешавад. Агар дар суд имконияти дар шакли электронӣ тартиб додани </w:t>
      </w:r>
      <w:proofErr w:type="gramStart"/>
      <w:r w:rsidRPr="00174C58">
        <w:rPr>
          <w:rFonts w:ascii="Palatino Linotype" w:hAnsi="Palatino Linotype" w:cs="Arial Tj"/>
          <w:color w:val="000000"/>
          <w:sz w:val="18"/>
          <w:szCs w:val="18"/>
        </w:rPr>
        <w:t>ҳалнома  мавҷуд</w:t>
      </w:r>
      <w:proofErr w:type="gramEnd"/>
      <w:r w:rsidRPr="00174C58">
        <w:rPr>
          <w:rFonts w:ascii="Palatino Linotype" w:hAnsi="Palatino Linotype" w:cs="Arial Tj"/>
          <w:color w:val="000000"/>
          <w:sz w:val="18"/>
          <w:szCs w:val="18"/>
        </w:rPr>
        <w:t xml:space="preserve"> набошад, ҳалнома танҳо дар шакли хаттӣ (коғазӣ) таҳия карда мешавад.».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15. Қисми 1 моддаи 218 дар таҳрири зерин ифода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 Ҳалномае, ки дар шакли электронӣ тартиб дода шудааст, на дертар аз панҷ рӯзи пас аз қабул шудани он, ба шахсони иштирокчии парванда бо ҷойгир намудани он дар сомонаи суд дар реҷаи дастрасии маҳдуд ирсол карда мешавад. Нусхаи ҳалнома дар шакли хаттӣ (коғазӣ) бо дархости шахсони номбурда дар ҳамин </w:t>
      </w:r>
      <w:r w:rsidRPr="00174C58">
        <w:rPr>
          <w:rFonts w:ascii="Palatino Linotype" w:hAnsi="Palatino Linotype" w:cs="Arial Tj"/>
          <w:color w:val="000000"/>
          <w:sz w:val="18"/>
          <w:szCs w:val="18"/>
        </w:rPr>
        <w:lastRenderedPageBreak/>
        <w:t xml:space="preserve">мӯҳлат, тавассути почта бо огоҳинома оид ба супоридан ирсол карда мешавад ва (ё) бо гирифтани забонхат ба онҳо супорида мешавад.».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16. Ба моддаи 232 ҷумлаи дуюм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«Таъиноте, ки дар шакли санади судии алоҳида қабул гардида, </w:t>
      </w:r>
      <w:proofErr w:type="gramStart"/>
      <w:r w:rsidRPr="00174C58">
        <w:rPr>
          <w:rFonts w:ascii="Palatino Linotype" w:hAnsi="Palatino Linotype" w:cs="Arial Tj"/>
          <w:color w:val="000000"/>
          <w:sz w:val="18"/>
          <w:szCs w:val="18"/>
        </w:rPr>
        <w:t>дар  шакли</w:t>
      </w:r>
      <w:proofErr w:type="gramEnd"/>
      <w:r w:rsidRPr="00174C58">
        <w:rPr>
          <w:rFonts w:ascii="Palatino Linotype" w:hAnsi="Palatino Linotype" w:cs="Arial Tj"/>
          <w:color w:val="000000"/>
          <w:sz w:val="18"/>
          <w:szCs w:val="18"/>
        </w:rPr>
        <w:t xml:space="preserve"> электронӣ тартиб дода шудааст, на дертар аз панҷ рӯзи пас аз қабул шудани он ба шахсони иштирокчии парванда ва шахсони дигари манфиатдор тавассути ҷойгир намудани он дар сомонаи суд дар реҷаи дастрасии маҳдуд ирсол карда мешавад.».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17. Ба моддаи 328 қисми 4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«4. Шикоят ё эътирози кассатсионӣ метавонад дар шакли электронӣ бо имзои электронии рақамии тасдиқшуда тавассути ҷойгир намудани он дар сомонаи суд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18. Ба моддаи 367 қисми 5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«5. Шикоят ё эътирози назоратӣ метавонад дар шакли электронӣ </w:t>
      </w:r>
      <w:proofErr w:type="gramStart"/>
      <w:r w:rsidRPr="00174C58">
        <w:rPr>
          <w:rFonts w:ascii="Palatino Linotype" w:hAnsi="Palatino Linotype" w:cs="Arial Tj"/>
          <w:color w:val="000000"/>
          <w:sz w:val="18"/>
          <w:szCs w:val="18"/>
        </w:rPr>
        <w:t>бо  имзои</w:t>
      </w:r>
      <w:proofErr w:type="gramEnd"/>
      <w:r w:rsidRPr="00174C58">
        <w:rPr>
          <w:rFonts w:ascii="Palatino Linotype" w:hAnsi="Palatino Linotype" w:cs="Arial Tj"/>
          <w:color w:val="000000"/>
          <w:sz w:val="18"/>
          <w:szCs w:val="18"/>
        </w:rPr>
        <w:t xml:space="preserve"> электронии рақамии тасдиқшуда тавассути ҷойгир намудани он дар сомонаи суд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19. Ба моддаи 383 ҷумлаи сеюм бо мазмуни зерин илова карда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«Ариза дар бораи аз нав дида баромадани санади судии эътибори қонунӣ пайдокарда аз рӯи ҳолатҳои нав ошкоргардида метавонад дар шакли электронӣ бо имзои электронии рақамии тасдиқшуда тавассути ҷойгир намудани он дар сомонаи суд пешниҳод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Моддаи 2.</w:t>
      </w:r>
      <w:r w:rsidRPr="00174C58">
        <w:rPr>
          <w:rFonts w:ascii="Palatino Linotype" w:hAnsi="Palatino Linotype" w:cs="Arial Tj"/>
          <w:color w:val="000000"/>
          <w:sz w:val="18"/>
          <w:szCs w:val="18"/>
        </w:rPr>
        <w:t xml:space="preserve"> Қонуни мазкур пас аз интишори расмӣ мавриди амал қарор дода шавад.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Президенти </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aps/>
          <w:color w:val="000000"/>
          <w:spacing w:val="-4"/>
          <w:sz w:val="18"/>
          <w:szCs w:val="18"/>
        </w:rPr>
      </w:pPr>
      <w:r w:rsidRPr="00174C58">
        <w:rPr>
          <w:rFonts w:ascii="Palatino Linotype" w:hAnsi="Palatino Linotype" w:cs="Arial Tj"/>
          <w:b/>
          <w:bCs/>
          <w:color w:val="000000"/>
          <w:spacing w:val="-4"/>
          <w:sz w:val="18"/>
          <w:szCs w:val="18"/>
        </w:rPr>
        <w:t xml:space="preserve">Ҷумҳурии Тоҷикистон </w:t>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t xml:space="preserve">     </w:t>
      </w:r>
      <w:proofErr w:type="gramStart"/>
      <w:r w:rsidRPr="00174C58">
        <w:rPr>
          <w:rFonts w:ascii="Palatino Linotype" w:hAnsi="Palatino Linotype" w:cs="Arial Tj"/>
          <w:b/>
          <w:bCs/>
          <w:color w:val="000000"/>
          <w:spacing w:val="-4"/>
          <w:sz w:val="18"/>
          <w:szCs w:val="18"/>
        </w:rPr>
        <w:t xml:space="preserve">Эмомалӣ  </w:t>
      </w:r>
      <w:r w:rsidRPr="00174C58">
        <w:rPr>
          <w:rFonts w:ascii="Palatino Linotype" w:hAnsi="Palatino Linotype" w:cs="Arial Tj"/>
          <w:b/>
          <w:bCs/>
          <w:caps/>
          <w:color w:val="000000"/>
          <w:spacing w:val="-4"/>
          <w:sz w:val="18"/>
          <w:szCs w:val="18"/>
        </w:rPr>
        <w:t>Раҳмон</w:t>
      </w:r>
      <w:proofErr w:type="gramEnd"/>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ш. Душанбе, 24 декабри соли 2022, № 1930</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894B37" w:rsidRPr="00174C58" w:rsidRDefault="00894B37" w:rsidP="00894B37">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миллии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894B37" w:rsidRPr="00174C58" w:rsidRDefault="00894B37" w:rsidP="00894B37">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Қонуни Ҷумҳурии Тоҷикистон «Дар бораи ворид намудани тағйиру иловаҳо ба Кодекси мурофиавии граждании Ҷумҳурии Тоҷикистон»</w:t>
      </w:r>
    </w:p>
    <w:p w:rsidR="00894B37" w:rsidRPr="00174C58" w:rsidRDefault="00894B37" w:rsidP="00894B37">
      <w:pPr>
        <w:autoSpaceDE w:val="0"/>
        <w:autoSpaceDN w:val="0"/>
        <w:adjustRightInd w:val="0"/>
        <w:spacing w:line="288" w:lineRule="auto"/>
        <w:jc w:val="center"/>
        <w:textAlignment w:val="center"/>
        <w:rPr>
          <w:rFonts w:ascii="Palatino Linotype" w:hAnsi="Palatino Linotype" w:cs="Arial Tj"/>
          <w:b/>
          <w:bCs/>
          <w:color w:val="000000"/>
          <w:sz w:val="18"/>
          <w:szCs w:val="18"/>
        </w:rPr>
      </w:pP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мурофиавии граждании Ҷумҳурии Тоҷикистон»-ро баррасӣ намуда, </w:t>
      </w:r>
      <w:r w:rsidRPr="00174C58">
        <w:rPr>
          <w:rFonts w:ascii="Palatino Linotype" w:hAnsi="Palatino Linotype" w:cs="Arial Tj"/>
          <w:b/>
          <w:bCs/>
          <w:color w:val="000000"/>
          <w:sz w:val="18"/>
          <w:szCs w:val="18"/>
        </w:rPr>
        <w:t>қарор мекунад:</w:t>
      </w:r>
      <w:r w:rsidRPr="00174C58">
        <w:rPr>
          <w:rFonts w:ascii="Palatino Linotype" w:hAnsi="Palatino Linotype" w:cs="Arial Tj"/>
          <w:color w:val="000000"/>
          <w:sz w:val="18"/>
          <w:szCs w:val="18"/>
        </w:rPr>
        <w:t xml:space="preserve"> </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ворид намудани тағйиру иловаҳо ба Кодекси мурофиавии граждании Ҷумҳурии Тоҷикистон» ҷонибдорӣ карда шавад.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миллии </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w:t>
      </w:r>
      <w:r w:rsidRPr="00174C58">
        <w:rPr>
          <w:rFonts w:ascii="Palatino Linotype" w:hAnsi="Palatino Linotype" w:cs="Arial Tj"/>
          <w:b/>
          <w:bCs/>
          <w:color w:val="000000"/>
          <w:sz w:val="18"/>
          <w:szCs w:val="18"/>
        </w:rPr>
        <w:tab/>
        <w:t xml:space="preserve">   Рустами </w:t>
      </w:r>
      <w:r w:rsidRPr="00174C58">
        <w:rPr>
          <w:rFonts w:ascii="Palatino Linotype" w:hAnsi="Palatino Linotype" w:cs="Arial Tj"/>
          <w:b/>
          <w:bCs/>
          <w:caps/>
          <w:color w:val="000000"/>
          <w:sz w:val="18"/>
          <w:szCs w:val="18"/>
        </w:rPr>
        <w:t>Эмомалӣ</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ш. Душанбе, 16 декабри соли 2022, № 327</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894B37" w:rsidRPr="00174C58" w:rsidRDefault="00894B37" w:rsidP="00894B37">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намояндагони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894B37" w:rsidRPr="00174C58" w:rsidRDefault="00894B37" w:rsidP="00894B37">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Оид ба қабул кардани Қонуни Ҷумҳурии Тоҷикистон </w:t>
      </w:r>
    </w:p>
    <w:p w:rsidR="00894B37" w:rsidRPr="00174C58" w:rsidRDefault="00894B37" w:rsidP="00894B37">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«Дар бораи ворид намудани тағйиру иловаҳо ба Кодекси мурофиавии граждании Ҷумҳурии Тоҷикистон»</w:t>
      </w:r>
    </w:p>
    <w:p w:rsidR="00894B37" w:rsidRPr="00174C58" w:rsidRDefault="00894B37" w:rsidP="00894B37">
      <w:pPr>
        <w:autoSpaceDE w:val="0"/>
        <w:autoSpaceDN w:val="0"/>
        <w:adjustRightInd w:val="0"/>
        <w:spacing w:line="288" w:lineRule="auto"/>
        <w:jc w:val="center"/>
        <w:textAlignment w:val="center"/>
        <w:rPr>
          <w:rFonts w:ascii="Palatino Linotype" w:hAnsi="Palatino Linotype" w:cs="Arial Tj"/>
          <w:color w:val="000000"/>
          <w:sz w:val="18"/>
          <w:szCs w:val="18"/>
        </w:rPr>
      </w:pP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cs="Arial Tj"/>
          <w:b/>
          <w:bCs/>
          <w:color w:val="000000"/>
          <w:sz w:val="18"/>
          <w:szCs w:val="18"/>
        </w:rPr>
        <w:t>қарор мекунад:</w:t>
      </w:r>
    </w:p>
    <w:p w:rsidR="00894B37" w:rsidRPr="00174C58" w:rsidRDefault="00894B37" w:rsidP="00894B3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lastRenderedPageBreak/>
        <w:t>Қонуни Ҷумҳурии Тоҷикистон «Дар бораи ворид намудани тағйиру иловаҳо ба Кодекси мурофиавии граждании Ҷумҳурии Тоҷикистон» қабул карда шавад.</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Муовини якуми Раиси Маҷлиси </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намояндагони Маҷлиси Олии </w:t>
      </w:r>
    </w:p>
    <w:p w:rsidR="00894B37" w:rsidRPr="00174C58" w:rsidRDefault="00894B37" w:rsidP="00894B3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Ҷумҳурии Тоҷикистон </w:t>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t xml:space="preserve">            М. </w:t>
      </w:r>
      <w:r w:rsidRPr="00174C58">
        <w:rPr>
          <w:rFonts w:ascii="Palatino Linotype" w:hAnsi="Palatino Linotype" w:cs="Arial Tj"/>
          <w:b/>
          <w:bCs/>
          <w:caps/>
          <w:color w:val="000000"/>
          <w:spacing w:val="-4"/>
          <w:sz w:val="18"/>
          <w:szCs w:val="18"/>
        </w:rPr>
        <w:t>Ватанзода</w:t>
      </w:r>
    </w:p>
    <w:p w:rsidR="002E3B67" w:rsidRDefault="00894B37" w:rsidP="00894B37">
      <w:r w:rsidRPr="00174C58">
        <w:rPr>
          <w:rFonts w:ascii="Palatino Linotype" w:hAnsi="Palatino Linotype" w:cs="Arial Tj"/>
          <w:b/>
          <w:bCs/>
          <w:color w:val="000000"/>
          <w:spacing w:val="-4"/>
          <w:sz w:val="18"/>
          <w:szCs w:val="18"/>
        </w:rPr>
        <w:t>ш. Душанбе, 12 октябри соли 2022, № 863</w:t>
      </w:r>
    </w:p>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37"/>
    <w:rsid w:val="002E3B67"/>
    <w:rsid w:val="00384082"/>
    <w:rsid w:val="0039643F"/>
    <w:rsid w:val="00602178"/>
    <w:rsid w:val="006A2F01"/>
    <w:rsid w:val="006F422F"/>
    <w:rsid w:val="00894B37"/>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4BF9"/>
  <w15:chartTrackingRefBased/>
  <w15:docId w15:val="{E947B68B-CC56-4642-8A78-2856DBC3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2022-12-28T13:05:00Z</dcterms:created>
  <dcterms:modified xsi:type="dcterms:W3CDTF">2022-12-28T13:05:00Z</dcterms:modified>
</cp:coreProperties>
</file>