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11" w:rsidRDefault="00850B11" w:rsidP="00850B11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</w:pP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Қ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ҳ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икистон</w:t>
      </w:r>
    </w:p>
    <w:p w:rsidR="00850B11" w:rsidRPr="00850B11" w:rsidRDefault="00850B11" w:rsidP="00850B11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4"/>
        </w:rPr>
      </w:pPr>
      <w:r w:rsidRPr="00850B11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 xml:space="preserve"> </w:t>
      </w:r>
      <w:r w:rsidRPr="00850B11">
        <w:rPr>
          <w:rFonts w:ascii="Palatino Linotype" w:hAnsi="Palatino Linotype" w:cs="Arial Tj"/>
          <w:b/>
          <w:bCs/>
          <w:color w:val="000000"/>
          <w:szCs w:val="24"/>
        </w:rPr>
        <w:t>Дар бораи ворид намудани тағ</w:t>
      </w:r>
      <w:bookmarkStart w:id="0" w:name="_GoBack"/>
      <w:bookmarkEnd w:id="0"/>
      <w:r w:rsidRPr="00850B11">
        <w:rPr>
          <w:rFonts w:ascii="Palatino Linotype" w:hAnsi="Palatino Linotype" w:cs="Arial Tj"/>
          <w:b/>
          <w:bCs/>
          <w:color w:val="000000"/>
          <w:szCs w:val="24"/>
        </w:rPr>
        <w:t>йиру иловаҳо ба Кодекси оилаи Ҷумҳурии Тоҷикистон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Моддаи 1.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Ба Кодекси оилаи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икистон, ки бо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икистон аз 13 ноябри соли 1998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абул шудааст (Ахбори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лиси   Олии  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урии 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икистон,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с.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1998,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№22,  мод.  303, мод. 304; с.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2006,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№4, мод.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196;  с.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2008,  №3,  мод.  201; с.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2010,  №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7,  мод. 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546;  с.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  2011, №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3,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мод. 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177,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№12, мод. 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855;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с. 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2013,   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№3,  мод.   </w:t>
      </w:r>
      <w:proofErr w:type="gramStart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195;  с.</w:t>
      </w:r>
      <w:proofErr w:type="gramEnd"/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2015,   №11,  мод.  960; с. 2016, №3, мод.  143, №11, мод. 881; с. 2017, №1-2, мод. 18), та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ои зерин ворид карда шаванд: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1. Дар тамоми матни Кодекс калимаи «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аламрави» ба калимаи «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удуди» иваз карда шавад.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2. Ба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исми 1 моддаи 127 сархати чорум бо мазмуни зерин илова карда шавад: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«- шахсоне, ки бо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укми суд барои содир кардани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иноят якумра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и маш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ул шудан бо фаъолияти ом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згор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ё иш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оли мансаб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ое, ки бо кор бо ноболи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он вобастаг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доранд,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рум карда шудаанд;».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3. Ба моддаи 145 сархати шашум бо мазмуни зерин илова карда шавад: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«- шахси фарзандхондкарда бо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укми суд барои содир кардани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иноят якумра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и маш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ул шудан бо фаъолияти ом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згор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ё иш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оли мансаб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ое, ки бо кор бо ноболи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он вобастаг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доранд,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рум шуда бошад;».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4. Ба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исми 2 моддаи 148 сархати дуюм бо мазмуни зерин илова карда шавад: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«- шахсоне, ки бо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укми суд барои содир кардани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иноят якумра аз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и маш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ул шудан бо фаъолияти ом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згор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ва ё иш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оли мансаб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ое, ки бо кор бо ноболи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он вобастаг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доранд,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рум карда шудаанд;».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Моддаи 2.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8"/>
          <w:szCs w:val="18"/>
        </w:rPr>
        <w:t>арор дода шавад.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</w:pP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ab/>
      </w:r>
      <w:proofErr w:type="gramStart"/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 xml:space="preserve">икистон    </w:t>
      </w: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ab/>
      </w: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ab/>
        <w:t>Эмомал</w:t>
      </w:r>
      <w:r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-2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pacing w:val="-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-2"/>
          <w:sz w:val="18"/>
          <w:szCs w:val="18"/>
        </w:rPr>
        <w:t>мон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ab/>
        <w:t>ш. Душанбе, 3 январи соли 2024, № 2031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</w:pP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миллии 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850B11" w:rsidRPr="003D691E" w:rsidRDefault="00850B11" w:rsidP="00850B11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ба Кодекси оилаи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икистон»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Кодекси оилаи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453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before="57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</w:t>
      </w:r>
    </w:p>
    <w:p w:rsidR="00850B11" w:rsidRPr="003D691E" w:rsidRDefault="00850B11" w:rsidP="00850B1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ба Кодекси оилаи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икистон»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Кодекси оилаи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850B11" w:rsidRPr="003D691E" w:rsidRDefault="00850B11" w:rsidP="00850B1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850B11" w:rsidRPr="003D691E" w:rsidRDefault="00850B11" w:rsidP="00850B11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ш. Душанбе, 15 ноябри соли 2023, №1163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11"/>
    <w:rsid w:val="002E3B67"/>
    <w:rsid w:val="00384082"/>
    <w:rsid w:val="0039643F"/>
    <w:rsid w:val="00602178"/>
    <w:rsid w:val="006A2F01"/>
    <w:rsid w:val="006F422F"/>
    <w:rsid w:val="00850B11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4D2F"/>
  <w15:chartTrackingRefBased/>
  <w15:docId w15:val="{2BA51683-7F7F-4893-8FD6-F844E927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50B1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2024-01-10T09:59:00Z</dcterms:created>
  <dcterms:modified xsi:type="dcterms:W3CDTF">2024-01-10T10:00:00Z</dcterms:modified>
</cp:coreProperties>
</file>