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B" w:rsidRDefault="00B45B3B" w:rsidP="00B45B3B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</w:pPr>
      <w:r w:rsidRPr="00B45B3B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>Қонуни Ҷумҳурии Тоҷикистон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  <w:lang w:val="en-US"/>
        </w:rPr>
        <w:t xml:space="preserve"> </w:t>
      </w:r>
      <w:r w:rsidRPr="00B45B3B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 xml:space="preserve"> </w:t>
      </w:r>
    </w:p>
    <w:p w:rsidR="00B45B3B" w:rsidRPr="00B45B3B" w:rsidRDefault="00B45B3B" w:rsidP="00B45B3B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4"/>
        </w:rPr>
      </w:pPr>
      <w:r w:rsidRPr="00B45B3B">
        <w:rPr>
          <w:rFonts w:ascii="Palatino Linotype" w:hAnsi="Palatino Linotype" w:cs="Arial Tj"/>
          <w:b/>
          <w:bCs/>
          <w:color w:val="000000"/>
          <w:szCs w:val="24"/>
        </w:rPr>
        <w:t>Оид ба ворид намудани иловаҳо  ба Қонуни Ҷумҳурии Тоҷикистон «Дар бораи ҳифзи ҳуқуқҳои кӯдак»</w:t>
      </w:r>
      <w:r w:rsidRPr="00B45B3B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дак» аз 18 марти соли 2015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</w:t>
      </w:r>
      <w:r w:rsidRPr="003D691E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тон, с. 2015, №3, мод. 218; с. 2018, №1, мод. 21; с. 2020, №12, мод. 914)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зерин ворид карда шаванд: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1.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1 моддаи 11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умлаи сеюм бо мазмуни зерин илова карда шавад: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«Нисбат ба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дак истифода ё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диди истифодаи з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ровар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манъ аст.».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2. Моддаи 11</w:t>
      </w:r>
      <w:r w:rsidRPr="003D691E">
        <w:rPr>
          <w:rFonts w:ascii="Palatino Linotype" w:hAnsi="Palatino Linotype" w:cs="Arial Tj"/>
          <w:color w:val="000000"/>
          <w:sz w:val="18"/>
          <w:szCs w:val="18"/>
          <w:vertAlign w:val="superscript"/>
        </w:rPr>
        <w:t>1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бо мазмуни зерин илова карда шавад: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«Моддаи 11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1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 к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дак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имоя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1.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 як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дак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имоя дорад.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2. Падару модар ё шахсони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оро ивазкунанда,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омоти васояту парастор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дар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пешбининамудаи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омоту ташкилот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дигар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дадоранд барои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имояи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дак чора</w:t>
      </w:r>
      <w:r>
        <w:rPr>
          <w:rFonts w:ascii="Palatino Linotype" w:hAnsi="Palatino Linotype" w:cs="Arial Tj"/>
          <w:color w:val="000000"/>
          <w:sz w:val="18"/>
          <w:szCs w:val="18"/>
        </w:rPr>
        <w:t>ҷӯ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намоянд.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3.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ангоми вайрон шудани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озод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манфиат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дак,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умла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ро накардан ё ба таври дахлдор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ро накардани 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дадори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 оид ба ниго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убин, тарбия ва таълими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дак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ониби падару модар (яке аз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о) ё шахсони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оро ивазкунанда ва ё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ангоми суиистифодаи падару модар аз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ояшон,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даке, ки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худро муста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илона ифода карда метавонад, 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дорад барои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манфиат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онунии худ ба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омоти васоят ва парастор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инчунин дигар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бевосита муро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иат намояд.».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3.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1 моддаи 14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умла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дуюм ва сеюм бо мазмуни зерин илова карда шаванд: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дак ба из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ори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ида вобаста ба синну сол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дуд карда намешавад. Ба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дак дар доираи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бояд имконият дода шавад, ки фикри худро дар шакле, ки 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мехо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ад, баён кунад.».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2.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 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3 январи соли 2024, № 2034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«Оид </w:t>
      </w: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ба  ворид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намудани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к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дак»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«Оид </w:t>
      </w:r>
      <w:proofErr w:type="gramStart"/>
      <w:r w:rsidRPr="003D691E">
        <w:rPr>
          <w:rFonts w:ascii="Palatino Linotype" w:hAnsi="Palatino Linotype" w:cs="Arial Tj"/>
          <w:color w:val="000000"/>
          <w:sz w:val="18"/>
          <w:szCs w:val="18"/>
        </w:rPr>
        <w:t>ба  ворид</w:t>
      </w:r>
      <w:proofErr w:type="gramEnd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намудани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дак»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456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ифзи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к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дак» </w:t>
      </w:r>
    </w:p>
    <w:p w:rsidR="00B45B3B" w:rsidRPr="003D691E" w:rsidRDefault="00B45B3B" w:rsidP="00B45B3B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лиси намояндагони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 мекунад: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дак»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 карда шавад.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намояндагони </w:t>
      </w:r>
    </w:p>
    <w:p w:rsidR="00B45B3B" w:rsidRPr="003D691E" w:rsidRDefault="00B45B3B" w:rsidP="00B45B3B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</w:t>
      </w: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Олии 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Зокирзода</w:t>
      </w:r>
    </w:p>
    <w:p w:rsidR="002E3B67" w:rsidRDefault="00B45B3B" w:rsidP="00B45B3B">
      <w:r w:rsidRPr="003D691E">
        <w:rPr>
          <w:rFonts w:ascii="Palatino Linotype" w:hAnsi="Palatino Linotype"/>
          <w:b/>
          <w:bCs/>
          <w:sz w:val="17"/>
          <w:szCs w:val="17"/>
        </w:rPr>
        <w:t>ш. Душанбе, 4 октябри соли 2023, № 1091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3B"/>
    <w:rsid w:val="002E3B67"/>
    <w:rsid w:val="00384082"/>
    <w:rsid w:val="0039643F"/>
    <w:rsid w:val="00602178"/>
    <w:rsid w:val="006A2F01"/>
    <w:rsid w:val="006F422F"/>
    <w:rsid w:val="00B45B3B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A482"/>
  <w15:chartTrackingRefBased/>
  <w15:docId w15:val="{4D2AF622-D87A-42BA-A8C6-7846761B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2024-01-10T09:54:00Z</dcterms:created>
  <dcterms:modified xsi:type="dcterms:W3CDTF">2024-01-10T09:55:00Z</dcterms:modified>
</cp:coreProperties>
</file>