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46" w:rsidRDefault="002D6146" w:rsidP="002D6146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  <w:lang w:val="en-US"/>
        </w:rPr>
      </w:pP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Қ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ҳ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икистон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  <w:lang w:val="en-US"/>
        </w:rPr>
        <w:t xml:space="preserve"> 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2"/>
          <w:lang w:val="en-US"/>
        </w:rPr>
      </w:pP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Оид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ба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ворид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намудани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тағйирот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ба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Қонуни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Ҷумҳурии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Тоҷикистон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«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Дар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бораи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ҳаракат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дар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 xml:space="preserve"> </w:t>
      </w:r>
      <w:r w:rsidRPr="002D6146">
        <w:rPr>
          <w:rFonts w:ascii="Palatino Linotype" w:hAnsi="Palatino Linotype" w:cs="Arial Tj"/>
          <w:b/>
          <w:bCs/>
          <w:color w:val="000000"/>
          <w:szCs w:val="22"/>
        </w:rPr>
        <w:t>роҳ</w:t>
      </w:r>
      <w:r w:rsidRPr="002D6146">
        <w:rPr>
          <w:rFonts w:ascii="Palatino Linotype" w:hAnsi="Palatino Linotype" w:cs="Arial Tj"/>
          <w:b/>
          <w:bCs/>
          <w:color w:val="000000"/>
          <w:szCs w:val="22"/>
          <w:lang w:val="en-US"/>
        </w:rPr>
        <w:t>»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Моддаи 1.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 xml:space="preserve"> Ба моддаи 33 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 xml:space="preserve">урии </w:t>
      </w:r>
      <w:proofErr w:type="gramStart"/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икистон  «</w:t>
      </w:r>
      <w:proofErr w:type="gramEnd"/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аракат дар ро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» аз 17 майи соли 2018 (Ахбори Ма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икистон, с.2018, №5, мод.284) та</w:t>
      </w:r>
      <w:r>
        <w:rPr>
          <w:rFonts w:ascii="Palatino Linotype" w:hAnsi="Palatino Linotype" w:cs="Arial Tj"/>
          <w:color w:val="000000"/>
          <w:spacing w:val="2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pacing w:val="2"/>
          <w:sz w:val="18"/>
          <w:szCs w:val="18"/>
        </w:rPr>
        <w:t>йироти зерин ворид карда шавад: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«фонд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ва «мешаванд» мувофи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ан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«фонди ро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ва «мешавад» иваз карда шаванд;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3 калимаи «фонд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ои» ба калимаи «фонди» иваз карда шавад.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2.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Президенти  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икистон             Эмомал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мон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ш. Душанбе, 3 январи соли 2024, № 2042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йирот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аракат дар 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»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йирот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аракат дар ро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миллии 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465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йирот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аракат дар ро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»  </w:t>
      </w:r>
    </w:p>
    <w:p w:rsidR="002D6146" w:rsidRPr="003D691E" w:rsidRDefault="002D6146" w:rsidP="002D6146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lastRenderedPageBreak/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йирот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аракат дар ро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намояндагони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2D6146" w:rsidRPr="003D691E" w:rsidRDefault="002D6146" w:rsidP="002D614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М.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Default="002D6146" w:rsidP="002D6146"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4 октябри соли 2023, № 1089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46"/>
    <w:rsid w:val="002D6146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6788"/>
  <w15:chartTrackingRefBased/>
  <w15:docId w15:val="{6B7863FB-036B-4103-A3FF-6527B1BB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2024-01-10T09:42:00Z</dcterms:created>
  <dcterms:modified xsi:type="dcterms:W3CDTF">2024-01-10T09:43:00Z</dcterms:modified>
</cp:coreProperties>
</file>