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4F" w:rsidRDefault="00FC564F" w:rsidP="00FC564F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</w:rPr>
      </w:pPr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онун</w:t>
      </w:r>
      <w:bookmarkStart w:id="0" w:name="_GoBack"/>
      <w:bookmarkEnd w:id="0"/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 xml:space="preserve">и 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икистон</w:t>
      </w:r>
    </w:p>
    <w:p w:rsidR="00FC564F" w:rsidRPr="00FC564F" w:rsidRDefault="00FC564F" w:rsidP="00FC564F">
      <w:pPr>
        <w:pStyle w:val="a4"/>
        <w:suppressAutoHyphens/>
        <w:jc w:val="center"/>
        <w:rPr>
          <w:rFonts w:ascii="Palatino Linotype" w:hAnsi="Palatino Linotype"/>
          <w:bCs w:val="0"/>
          <w:sz w:val="36"/>
          <w:szCs w:val="28"/>
        </w:rPr>
      </w:pPr>
      <w:r w:rsidRPr="00FC564F">
        <w:rPr>
          <w:rFonts w:ascii="Palatino Linotype" w:hAnsi="Palatino Linotype"/>
          <w:caps w:val="0"/>
          <w:position w:val="-16"/>
          <w:sz w:val="96"/>
          <w:szCs w:val="66"/>
          <w:lang w:val="tg-Cyrl-TJ"/>
        </w:rPr>
        <w:t xml:space="preserve"> </w:t>
      </w:r>
      <w:r w:rsidRPr="00FC564F">
        <w:rPr>
          <w:rFonts w:ascii="Palatino Linotype" w:hAnsi="Palatino Linotype"/>
          <w:bCs w:val="0"/>
          <w:caps w:val="0"/>
          <w:sz w:val="36"/>
          <w:szCs w:val="28"/>
        </w:rPr>
        <w:t>Оид ба ворид намудани тағйиру иловаҳо</w:t>
      </w:r>
      <w:r w:rsidRPr="00FC564F">
        <w:rPr>
          <w:rFonts w:ascii="Palatino Linotype" w:hAnsi="Palatino Linotype"/>
          <w:bCs w:val="0"/>
          <w:caps w:val="0"/>
          <w:sz w:val="36"/>
          <w:szCs w:val="28"/>
          <w:lang w:val="tg-Cyrl-TJ"/>
        </w:rPr>
        <w:t xml:space="preserve"> </w:t>
      </w:r>
      <w:r w:rsidRPr="00FC564F">
        <w:rPr>
          <w:rFonts w:ascii="Palatino Linotype" w:hAnsi="Palatino Linotype"/>
          <w:bCs w:val="0"/>
          <w:caps w:val="0"/>
          <w:sz w:val="36"/>
          <w:szCs w:val="28"/>
        </w:rPr>
        <w:t>ба Қонуни Ҷумҳурии Тоҷикистон</w:t>
      </w:r>
      <w:r w:rsidRPr="00FC564F">
        <w:rPr>
          <w:rFonts w:ascii="Palatino Linotype" w:hAnsi="Palatino Linotype"/>
          <w:bCs w:val="0"/>
          <w:caps w:val="0"/>
          <w:sz w:val="36"/>
          <w:szCs w:val="28"/>
          <w:lang w:val="tg-Cyrl-TJ"/>
        </w:rPr>
        <w:t xml:space="preserve"> </w:t>
      </w:r>
      <w:r w:rsidRPr="00FC564F">
        <w:rPr>
          <w:rFonts w:ascii="Palatino Linotype" w:hAnsi="Palatino Linotype"/>
          <w:bCs w:val="0"/>
          <w:caps w:val="0"/>
          <w:sz w:val="36"/>
          <w:szCs w:val="28"/>
        </w:rPr>
        <w:t>«Дар бораи санадҳои меъёрии ҳуқуқӣ»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b/>
          <w:bCs/>
          <w:spacing w:val="2"/>
        </w:rPr>
        <w:t>Моддаи 1.</w:t>
      </w:r>
      <w:r w:rsidRPr="00C7647C">
        <w:rPr>
          <w:rFonts w:ascii="Palatino Linotype" w:hAnsi="Palatino Linotype"/>
          <w:spacing w:val="2"/>
        </w:rPr>
        <w:t xml:space="preserve">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«Дар бораи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» аз 30 майи соли 2017 (Ахбори Ма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лиси Олии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икистон, с. 2017, №5,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. 1, мод. 271; с. 2019, №7, мод. 465; с. 2021, №12,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. 2, мод. 694) та</w:t>
      </w:r>
      <w:r>
        <w:rPr>
          <w:rFonts w:ascii="Palatino Linotype" w:hAnsi="Palatino Linotype"/>
          <w:spacing w:val="2"/>
        </w:rPr>
        <w:t>ғ</w:t>
      </w:r>
      <w:r w:rsidRPr="00C7647C">
        <w:rPr>
          <w:rFonts w:ascii="Palatino Linotype" w:hAnsi="Palatino Linotype"/>
          <w:spacing w:val="2"/>
        </w:rPr>
        <w:t>йиру илова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зерин ворид карда шаванд: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1. Ба сархати шашуми моддаи 2 пас аз калимаи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онунгузор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дигар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увваи бештари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идошта» илова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2. Дар сархати ну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уми моддаи 2 ва тамоми матни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онуни мазкур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«субъектони», «Субъектони» ва «субъектоне» мувофи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ан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«субъект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ои», «Субъект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ои» ва «субъект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ое»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3. Дар сархати сеюми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моддаи 6 калимаи «интишори»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ойгир намудани» иваз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4.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1 моддаи 7,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1 моддаи 34, сархати чоруми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4 моддаи 57,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5 моддаи 62,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4 моддаи 66,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3 моддаи 69, сархати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аштуми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4 моддаи 82,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3 моддаи 84,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2 моддаи 87, ном,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1 ва 3 моддаи 89, ном ва матни моддаи 91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«Агентии амнияти ядрой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5. Ба сархати да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моддаи 9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калима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ои «,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илова карда шуда,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икис­тон»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6.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моддаи 22 калимаи «бароварда»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абул карда» иваз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7. Дар моддаи 24: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ном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«, 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ва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иваз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«2. Вазорат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о,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омоти назди Президенти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омоти назди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иро дар шакли фармоиш, кумита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Бонки миллии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 ва 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 дар шакли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арор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абул мекунанд.»;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«,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илова карда шуда,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8.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моддаи 29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онунгузор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«фармон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Президенти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арор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икистон,» илова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9.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моддаи 31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ва «ва 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мувофи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ан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ва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икистон» ва «, 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ва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10. Дар моддаи 39: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lastRenderedPageBreak/>
        <w:t xml:space="preserve">-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«Вазорати адлияи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аи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лили таъсири танзимкун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» иваз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«5. Тартиби пешбурди Портали интернет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аи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лили таъсири танзимкуниро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муайян мекунад.».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11. Ба моддаи 42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умлаи шашум бо мазмуни зерин илова карда шавад: «Конститутсияи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икистон, инчунин кодекс,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 ва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абул ё тасди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шавандаи мушаххас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ангоми дар шакли мухтасар ифода ёфтан, ки намуд ва номи 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оро инъикос менамояд, бо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арф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хурд навишта шуда, бо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арфи калон огоз меёбанд.».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12. Дар моддаи 43: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аз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9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«, зербанд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о» ва «, як зербанд» хори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аз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 ё» хори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13.</w:t>
      </w:r>
      <w:r w:rsidRPr="00C7647C">
        <w:rPr>
          <w:rFonts w:ascii="Palatino Linotype" w:hAnsi="Palatino Linotype"/>
          <w:spacing w:val="2"/>
        </w:rPr>
        <w:tab/>
        <w:t xml:space="preserve">Дар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умлаи якуми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модцаи 47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«пас 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о» калимаи «метавонанд» илова карда шуда, калимаи «мешаванд» ба калимаи «шаванд» иваз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14.</w:t>
      </w:r>
      <w:r w:rsidRPr="00C7647C">
        <w:rPr>
          <w:rFonts w:ascii="Palatino Linotype" w:hAnsi="Palatino Linotype"/>
          <w:spacing w:val="2"/>
        </w:rPr>
        <w:tab/>
        <w:t>Дар моддаи 48: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2, 3 ва 4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шаванд: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«2. Дар мавриди истинод намудан ба Конститутсияи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бо ро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 раъйпурсии умумихал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абулгардида,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конститутсион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кодекс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(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таркибии 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о) ин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 зикр карда мешаванд: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- ишора ба меъёри да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 (дар мавриди зарур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то сархат), ки ба он истинод карда мешавад (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ангоми истинод кардан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таркибии ало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идаи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);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намуди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номи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3. Дар мавриди истинод намудан ба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зер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илова ба нишона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моддаи мазкур пешбинишуда ра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ам ва санаи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абули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низ зикр карда мешаванд.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4. Дар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олат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якчанд маротиба ба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зер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истинод кардан тан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 намуди санад, ра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ам ва санаи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абули он ва ё шакли мухтасари он зикр карда мешаванд.»;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хори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 карда шуда,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6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5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исобида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15. Ба номи моддаи 52 пас аз калимаи «давлат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маф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о» илова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16. Дар моддаи 55: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умлаи якуми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оид»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баробардара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а оид» иваз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2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умлаи дуюм бо мазмуни зерин илова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«Агар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ангоми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ияи лои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аи фармони Президенти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зарурати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ияи лои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арори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укумати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ба ву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уд ояд, ин лои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бояд дар ма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муъ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ия ва пешни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од карда шаванд, агар дар лои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аи фармони Президенти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тартиби дигар пешбин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нашуда бошад.»;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бо мазмуни зерин илова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«2. Та</w:t>
      </w:r>
      <w:r>
        <w:rPr>
          <w:rFonts w:ascii="Palatino Linotype" w:hAnsi="Palatino Linotype"/>
          <w:spacing w:val="2"/>
        </w:rPr>
        <w:t>ғ</w:t>
      </w:r>
      <w:r w:rsidRPr="00C7647C">
        <w:rPr>
          <w:rFonts w:ascii="Palatino Linotype" w:hAnsi="Palatino Linotype"/>
          <w:spacing w:val="2"/>
        </w:rPr>
        <w:t>йиру илова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 ба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инчунин метавонанд бо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сади бартараф намудани ихтилофоти байни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, норасо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дар санади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ва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алли дигар масъала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дахлдор ворид карда шаванд.»;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2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3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исобида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17. Ба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умлаи дуюми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3 ва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моддаи 56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«мешаванд» ва «мешавад»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«, ба истиснои сархат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о, ки 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 муста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илона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оба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огузор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мегарданд» илова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18. Дар сархати шашуми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4 моддаи 57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моддаи 66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Агентии амнияти ядро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радиатсионии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«, 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ва Агентии амнияти химияв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биолог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радиатсион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ядроии Академияи миллии илм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19.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моддаи 58 пас аз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«Бонки миллии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«Палатаи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исоби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икистон, Ваколатдор оид ба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 инсон дар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­То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икистон,» илова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lastRenderedPageBreak/>
        <w:t xml:space="preserve">20. Дар сархати сеюми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моддаи 63 калимаи «эксперт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о» ба калимаи «коршиносон» иваз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21. Дар моддаи 64: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пас аз калимаи «зиддикоррупсион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,» калимаи «зиддитабъиз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,» илова карда шавад;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2 калимаи «эксперт» ба калимаи «коршинос» иваз карда шавад;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калимаи «эксперт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о» ба калимаи «коршиносон» иваз карда шавад;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4 калимаи «эксперт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» ба калимаи «коршинос» иваз карда шавад;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6 бо мазмуни зерин илова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«6. Экспертизаи зиддитабъизии лои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бо тартиби пешбининамудаи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«Дар бораи баробар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бар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ам додани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ама гуна шакл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табъиз» гузаронида мешавад.».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22. Дар моддаи 66: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«Садои мардум»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«, «Садои мардум», «Ахбори Ма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лиси Олии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­То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ва «Фе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ристи ягонаи давлатии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икистон»» иваз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3 хори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 карда шуда,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4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3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исобида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23.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исми 6 моддаи 67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4 моддаи 69 калимаи «ани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и» ба калимаи «да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и» иваз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24. Моддаи 68 хори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25. Дар моддаи 69: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ба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1 пас аз калимаи «чоп»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шакли электронии он, ки аз соли 2011 бо шакли когаз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эътибори якхела дорад, дар сомонаи расмии Вазорати адлияи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икис­тон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ойгир» илова карда шаванд;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«5.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омоти марказии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окимияти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омоти 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аллии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окимияти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бо «Фе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ристи ягонаи давлатии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икистон» таъмин карда мешаванд.».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26. Дар моддаи 83: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- номи модда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«Моддаи 83. Мутоби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ати байни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>»;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- дар матни модда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ои» ва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ои» мувофи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ан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бо ро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 раъйпурсии умумихал</w:t>
      </w:r>
      <w:r>
        <w:rPr>
          <w:rFonts w:ascii="Palatino Linotype" w:hAnsi="Palatino Linotype"/>
          <w:spacing w:val="2"/>
        </w:rPr>
        <w:t>қӣ</w:t>
      </w:r>
      <w:r w:rsidRPr="00C7647C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абулгардида,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байналмилалие, ки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икистон он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оро эътироф кардааст,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конститутсион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>, кодекс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 ва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ои» ва «санад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онунгузории дигари»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27.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4 моддаи 89 дар та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рири зерин ифода карда шавад: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«4. Дар сурати ошкор гардидани мухолифати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ии вазорат, кумитаи 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назди Президенти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назди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укумати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Бонки миллии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Палатаи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исоби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Агентии амнияти химияв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биолог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радиатсион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ядроии Академияи миллии илм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аллии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окимияти 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худидоракунии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рак ва де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от ба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ии нав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абулшуда Вазорати адлияи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субъект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э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одкунандаи дахлдор дар бораи бартараф кардани мухолифати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ойдошта хабарнома ирсол менамояд. Субъект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э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одкунанда ухдадоранд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як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аз санаи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абули хабарномаи Вазорати адлия мухолифат­ро бо ро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 ворид намудани та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йиру илова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дахлдор ва ё аз эътибор со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ит кардани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бартараф карда,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иро барои ба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айдгирии 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Вазорати адлияи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 намоянд. Дар сурати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ониби субъект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э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одкунандаи дахлдор дар давоми як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 нагардидани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ати бартараф кардани мухолифат Вазорати адлияи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 бораи аз Фе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ристи ба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исобгирии давлатии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ии 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</w:t>
      </w:r>
      <w:proofErr w:type="gramEnd"/>
      <w:r w:rsidRPr="00C7647C">
        <w:rPr>
          <w:rFonts w:ascii="Palatino Linotype" w:hAnsi="Palatino Linotype"/>
          <w:spacing w:val="4"/>
        </w:rPr>
        <w:t xml:space="preserve">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кардани 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 намуда, онро барои маълумот ва аз эътибор со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ит намудани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дахлдор мефиристад.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дар бораи аз Фе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ристи ба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исобгирии давлатии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кардани санади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дар Фе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ристи ба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исобгирии давлатии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айд мегардад.».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lastRenderedPageBreak/>
        <w:t xml:space="preserve">28.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моддаи 91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«му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аррароти боби мазкур»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«тартиби ба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айдгирии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ва мавриди амал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арор додани санад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меъёрии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хусусияти умуми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атмидошта»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29. Дар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исми 5 моддаи 93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«ва пешбурди» ба калима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ои «, пешбурд ва ворид кардани иттилооти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ии дигар ба» иваз карда шаванд.</w:t>
      </w:r>
    </w:p>
    <w:p w:rsidR="00FC564F" w:rsidRPr="00C7647C" w:rsidRDefault="00FC564F" w:rsidP="00FC564F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b/>
          <w:bCs/>
          <w:spacing w:val="2"/>
        </w:rPr>
        <w:t>Моддаи 2.</w:t>
      </w:r>
      <w:r w:rsidRPr="00C7647C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онуни мазкур пас аз интишори расм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мавриди амал 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арор дода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  <w:caps/>
          <w:spacing w:val="2"/>
          <w:sz w:val="17"/>
          <w:szCs w:val="17"/>
        </w:rPr>
      </w:pPr>
      <w:proofErr w:type="gramStart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урии</w:t>
      </w:r>
      <w:proofErr w:type="gramEnd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икистон              Эмомал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мон</w:t>
      </w: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ш. Душанбе, 3 январи соли 2024, № 2024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FC564F" w:rsidRPr="00C7647C" w:rsidRDefault="00FC564F" w:rsidP="00FC564F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FC564F" w:rsidRPr="00C7647C" w:rsidRDefault="00FC564F" w:rsidP="00FC564F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санад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меъёрии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C7647C">
        <w:rPr>
          <w:rFonts w:ascii="Palatino Linotype" w:hAnsi="Palatino Linotype"/>
          <w:b/>
          <w:bCs/>
        </w:rPr>
        <w:t>»</w:t>
      </w:r>
    </w:p>
    <w:p w:rsidR="00FC564F" w:rsidRPr="00C7647C" w:rsidRDefault="00FC564F" w:rsidP="00FC564F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санад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</w:t>
      </w: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           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446</w:t>
      </w: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</w:rPr>
      </w:pP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FC564F" w:rsidRPr="00C7647C" w:rsidRDefault="00FC564F" w:rsidP="00FC564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FC564F" w:rsidRPr="00C7647C" w:rsidRDefault="00FC564F" w:rsidP="00FC564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FC564F" w:rsidRPr="00C7647C" w:rsidRDefault="00FC564F" w:rsidP="00FC564F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санад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меъёрии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C7647C">
        <w:rPr>
          <w:rFonts w:ascii="Palatino Linotype" w:hAnsi="Palatino Linotype"/>
          <w:b/>
          <w:bCs/>
        </w:rPr>
        <w:t>»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санад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FC564F" w:rsidRPr="00C7647C" w:rsidRDefault="00FC564F" w:rsidP="00FC564F">
      <w:pPr>
        <w:pStyle w:val="a3"/>
        <w:rPr>
          <w:rFonts w:ascii="Palatino Linotype" w:hAnsi="Palatino Linotype"/>
        </w:rPr>
      </w:pPr>
    </w:p>
    <w:p w:rsidR="00FC564F" w:rsidRPr="00C7647C" w:rsidRDefault="00FC564F" w:rsidP="00FC564F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FC564F" w:rsidRDefault="00FC564F" w:rsidP="00FC564F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FC564F" w:rsidP="00FC564F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13 декабри соли 2023, № 1174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4F"/>
    <w:rsid w:val="00E96F7B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6C64"/>
  <w15:chartTrackingRefBased/>
  <w15:docId w15:val="{6285CD65-0999-4DC7-A313-21045330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C564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C564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C564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y2iqfc">
    <w:name w:val="y2iqfc"/>
    <w:uiPriority w:val="99"/>
    <w:rsid w:val="00FC564F"/>
    <w:rPr>
      <w:rFonts w:ascii="Times New Roman" w:hAnsi="Times New Roman" w:cs="Times New Roman"/>
      <w:color w:val="000000"/>
      <w:w w:val="100"/>
    </w:rPr>
  </w:style>
  <w:style w:type="paragraph" w:customStyle="1" w:styleId="a6">
    <w:name w:val="[Без стиля]"/>
    <w:rsid w:val="00FC564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7">
    <w:name w:val="Hyperlink"/>
    <w:basedOn w:val="a0"/>
    <w:uiPriority w:val="99"/>
    <w:rsid w:val="00FC564F"/>
    <w:rPr>
      <w:color w:val="0000FF"/>
      <w:w w:val="100"/>
      <w:u w:val="thick" w:color="0000FF"/>
    </w:rPr>
  </w:style>
  <w:style w:type="character" w:styleId="a8">
    <w:name w:val="Strong"/>
    <w:basedOn w:val="a0"/>
    <w:uiPriority w:val="99"/>
    <w:qFormat/>
    <w:rsid w:val="00FC564F"/>
    <w:rPr>
      <w:b/>
      <w:bCs/>
      <w:color w:val="000000"/>
      <w:w w:val="100"/>
    </w:rPr>
  </w:style>
  <w:style w:type="character" w:customStyle="1" w:styleId="s0">
    <w:name w:val="s0"/>
    <w:uiPriority w:val="99"/>
    <w:rsid w:val="00FC564F"/>
    <w:rPr>
      <w:rFonts w:ascii="Times New Roman" w:hAnsi="Times New Roman" w:cs="Times New Roman"/>
      <w:color w:val="000000"/>
      <w:w w:val="100"/>
    </w:rPr>
  </w:style>
  <w:style w:type="character" w:styleId="a9">
    <w:name w:val="line number"/>
    <w:basedOn w:val="a0"/>
    <w:uiPriority w:val="99"/>
    <w:semiHidden/>
    <w:unhideWhenUsed/>
    <w:rsid w:val="00FC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2024-01-08T11:59:00Z</dcterms:created>
  <dcterms:modified xsi:type="dcterms:W3CDTF">2024-01-08T11:59:00Z</dcterms:modified>
</cp:coreProperties>
</file>