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15" w:rsidRDefault="00FF7515" w:rsidP="00FF7515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</w:pP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Қ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ҳ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икистон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 xml:space="preserve"> </w:t>
      </w:r>
      <w:r w:rsidRPr="003D691E">
        <w:rPr>
          <w:rFonts w:ascii="Palatino Linotype" w:hAnsi="Palatino Linotype" w:cs="Arial Tj"/>
          <w:b/>
          <w:bCs/>
          <w:color w:val="000000"/>
        </w:rPr>
        <w:t>Оид ба ворид намудани та</w:t>
      </w:r>
      <w:r>
        <w:rPr>
          <w:rFonts w:ascii="Palatino Linotype" w:hAnsi="Palatino Linotype" w:cs="Arial Tj"/>
          <w:b/>
          <w:bCs/>
          <w:color w:val="000000"/>
        </w:rPr>
        <w:t>ғ</w:t>
      </w:r>
      <w:r w:rsidRPr="003D691E">
        <w:rPr>
          <w:rFonts w:ascii="Palatino Linotype" w:hAnsi="Palatino Linotype" w:cs="Arial Tj"/>
          <w:b/>
          <w:bCs/>
          <w:color w:val="000000"/>
        </w:rPr>
        <w:t>йиру илова</w:t>
      </w:r>
      <w:r>
        <w:rPr>
          <w:rFonts w:ascii="Palatino Linotype" w:hAnsi="Palatino Linotype" w:cs="Arial Tj"/>
          <w:b/>
          <w:bCs/>
          <w:color w:val="000000"/>
        </w:rPr>
        <w:t>ҳ</w:t>
      </w:r>
      <w:r w:rsidRPr="003D691E">
        <w:rPr>
          <w:rFonts w:ascii="Palatino Linotype" w:hAnsi="Palatino Linotype" w:cs="Arial Tj"/>
          <w:b/>
          <w:bCs/>
          <w:color w:val="000000"/>
        </w:rPr>
        <w:t xml:space="preserve">о </w:t>
      </w:r>
      <w:r w:rsidRPr="003D691E">
        <w:rPr>
          <w:rFonts w:ascii="Palatino Linotype" w:hAnsi="Palatino Linotype"/>
          <w:b/>
          <w:bCs/>
        </w:rPr>
        <w:t xml:space="preserve">ба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икистон «Дар бораи тухмипарвар</w:t>
      </w:r>
      <w:r>
        <w:rPr>
          <w:rFonts w:ascii="Palatino Linotype" w:hAnsi="Palatino Linotype"/>
          <w:b/>
          <w:bCs/>
        </w:rPr>
        <w:t>ӣ</w:t>
      </w:r>
      <w:r w:rsidRPr="003D691E">
        <w:rPr>
          <w:rFonts w:ascii="Palatino Linotype" w:hAnsi="Palatino Linotype"/>
          <w:b/>
          <w:bCs/>
        </w:rPr>
        <w:t>»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bookmarkStart w:id="0" w:name="_GoBack"/>
      <w:bookmarkEnd w:id="0"/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1.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«Дар бораи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аз 5 январи соли 2008 (Ахбори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икистон, с. 2008, №1,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. 2, мод. 20; с. 2015, №11, мод. 959)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зерин ворид карда шаванд: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Аз матни моддаи 3 калимаи «(Сар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онуни)»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шавад.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2.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дуюми моддаи 6,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сеюми моддаи 7,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дуюми моддаи 8,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дуюми моддаи 9,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дуюми моддаи 10,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дуюми моддаи 11,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чорум ва пан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уми моддаи 16, матни моддаи 17,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якуми моддаи 18,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сеюми моддаи 19,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якум ва дуюми    моддаи 20,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чоруми моддаи 21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1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сеюми моддаи 22,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сеюми моддаи 23,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пан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уми моддаи 26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3. Дар моддаи 14: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якум калимаи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аламрави» ба калимаи «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удуди» иваз карда шавад;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дуюм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давлатии 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 ва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айдгирии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сеюм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«нашрияи расмии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«нашрия ва сомонаи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ва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«ба шабакаи интернет»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4.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дуюм, сеюм, чорум ва пан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уми моддаи 14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1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давлатии 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 ва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айдгирии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о»,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давлатии 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 ва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айдгирии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о», «шабакаи интернет» ва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»,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», «сомонаи расм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ва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5. Дар сархат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дуюм ва сеюми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якуми моддаи 14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2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аламрави» ва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удуди» ва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6.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дуюми моддаи 21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7. Дар матни моддаи 21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2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давлатии 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 ва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айдгирии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8. Модда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24 ва 25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рири зерин ифода карда шаванд: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24. Сертификатсияи тухм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шаи сертификатсияи тухмиро барои 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сертификатсияшаванда муайян менамояд.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 як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барои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 пешбин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шудааст, бояд сертификатсия карда шавад.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Сертификат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кунандаи навъ ва сифати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барои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 як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м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аррарнамудаи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дода мешаванд.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25. Ша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одатномаи навъ ва сифати тухм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одатномаи навъ ва сифат ба тухмии асл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элита ва репродуксион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асоси ташхиси лаборатор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аррарнамудаи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дода мешавад.».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9. Дар моддаи 27: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якум калимаи «и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озатномаи» ба калимаи «и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озати» иваз карда шавад;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шашум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озатномаи» ва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карантини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озати» ва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афтум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озатномаи» ва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озати» ва «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икистон» иваз карда шаванд;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исми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аштум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идоракун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.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Моддаи 29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рири зерин ифода карда шавад: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29.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омоти ваколатдори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мебошанд.».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11. Сархати дуюми моддаи 29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1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рири зерин ифода карда шавад: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«-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;». 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12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.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Моддаи 29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2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рири зерин ифода карда шавад: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29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  <w:vertAlign w:val="superscript"/>
        </w:rPr>
        <w:t>2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.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самти тухмипарвар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самти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дорои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зерин мебошад: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амалисозии сиёсати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барои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укумати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 намудани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рушди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; 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шаи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соли тухмии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о;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ия ва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тартиби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таъмини тасвиби расмии дастовард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нави селексион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ба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исобгирии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соли тухмии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о;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лил ва мониторинги фаъолияти хо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аги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самти исте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соли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муайян намудани тартиби истифодаи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тухмии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 Фе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ристи давлатии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дохилкарданашуда;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бо тартиби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арраргардида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содирот ва воридоти тухмии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дигари пешбининамудаи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икистон.».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13. Моддаи 29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 xml:space="preserve">3 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бо мазмуни зерин илова карда шавад: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29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  <w:vertAlign w:val="superscript"/>
        </w:rPr>
        <w:t>3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. Ваколат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самти тухмипарвар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самти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дорои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зерин мебошад: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назорат ва танзими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сертификатсияи тухмии ба фур</w:t>
      </w:r>
      <w:r>
        <w:rPr>
          <w:rFonts w:ascii="Palatino Linotype" w:hAnsi="Palatino Linotype" w:cs="Arial Tj"/>
          <w:color w:val="000000"/>
          <w:sz w:val="17"/>
          <w:szCs w:val="17"/>
        </w:rPr>
        <w:t>ӯ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 пешни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одшуда, назорати кишти навъи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ро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итъа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ташхиси лаборатории сифати навъ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киштбобии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фаъолияти ташкилию метод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назорати таъмини риояи стандарт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назорати содирот ва воридоти тухмии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 намудани меъёр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илман асоснокшудаи сифати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та</w:t>
      </w:r>
      <w:r>
        <w:rPr>
          <w:rFonts w:ascii="Palatino Linotype" w:hAnsi="Palatino Linotype" w:cs="Arial Tj"/>
          <w:color w:val="000000"/>
          <w:sz w:val="17"/>
          <w:szCs w:val="17"/>
        </w:rPr>
        <w:t>ҷҳ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изоти техникии ташхиси сифати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му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аррар намудани тартиби истифодаи бор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омаю восита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борбанд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там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а, ниго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инти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оли тухмии растани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оид ба назорати фаъолият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ваколат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дигари пешбининамудаи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онунгузории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икистон.».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14. Дар номи моддаи 29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 xml:space="preserve">3 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ами «29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3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ра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ами «29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4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15. Дар моддаи 30: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якум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 ва ба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айдгирии 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шаванд;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дуюм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давлатии назорат ва сертификатсияи тухм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16. Моддаи 31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рири зерин ифода карда шавад: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«Моддаи 31. Назорати давлат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Ро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барон ва кормандони дахлдори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бехатарии озу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фаъолияти худро дар самти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тиб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ва дигар санад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меъёрии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менамоянд.».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17. Моддаи </w:t>
      </w:r>
      <w:proofErr w:type="gramStart"/>
      <w:r w:rsidRPr="003D691E">
        <w:rPr>
          <w:rFonts w:ascii="Palatino Linotype" w:hAnsi="Palatino Linotype" w:cs="Arial Tj"/>
          <w:color w:val="000000"/>
          <w:sz w:val="17"/>
          <w:szCs w:val="17"/>
        </w:rPr>
        <w:t>31</w:t>
      </w:r>
      <w:r w:rsidRPr="003D691E">
        <w:rPr>
          <w:rFonts w:ascii="Palatino Linotype" w:hAnsi="Palatino Linotype" w:cs="Arial Tj"/>
          <w:color w:val="000000"/>
          <w:sz w:val="17"/>
          <w:szCs w:val="17"/>
          <w:vertAlign w:val="superscript"/>
        </w:rPr>
        <w:t>1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 бо</w:t>
      </w:r>
      <w:proofErr w:type="gramEnd"/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мазмуни зерин илова карда шавад: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  <w:vertAlign w:val="superscript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lastRenderedPageBreak/>
        <w:t>«Моддаи 31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  <w:vertAlign w:val="superscript"/>
        </w:rPr>
        <w:t>1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. Сан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иши фаъолияти субъект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ои хо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агидор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иши фаъолияти субъект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агидор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бо тартиби пешбининамудаи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«Дар бораи сан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иши фаъолияти субъект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хо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агидор» амал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мешавад.».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2.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дода шавад.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               Эмомал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мон</w:t>
      </w:r>
    </w:p>
    <w:p w:rsidR="00FF7515" w:rsidRPr="003D691E" w:rsidRDefault="00FF7515" w:rsidP="00FF7515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ш. Душанбе, 3 январи соли 2024, № 2029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6"/>
          <w:szCs w:val="16"/>
        </w:rPr>
      </w:pP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миллии 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FF7515" w:rsidRPr="003D691E" w:rsidRDefault="00FF7515" w:rsidP="00FF7515">
      <w:pPr>
        <w:autoSpaceDE w:val="0"/>
        <w:autoSpaceDN w:val="0"/>
        <w:adjustRightInd w:val="0"/>
        <w:spacing w:before="57"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«Дар бораи тухмипарвар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»</w:t>
      </w:r>
    </w:p>
    <w:p w:rsidR="00FF7515" w:rsidRPr="003D691E" w:rsidRDefault="00FF7515" w:rsidP="00FF7515">
      <w:pPr>
        <w:autoSpaceDE w:val="0"/>
        <w:autoSpaceDN w:val="0"/>
        <w:adjustRightInd w:val="0"/>
        <w:spacing w:before="57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лиси миллии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«Дар бораи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»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миллии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         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ӣ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ш. Душанбе, 27 декабри соли 2023, № 451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6"/>
          <w:szCs w:val="16"/>
        </w:rPr>
      </w:pP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before="57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</w:p>
    <w:p w:rsidR="00FF7515" w:rsidRPr="003D691E" w:rsidRDefault="00FF7515" w:rsidP="00FF751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«Дар бораи тухмипарвар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»</w:t>
      </w:r>
    </w:p>
    <w:p w:rsidR="00FF7515" w:rsidRPr="003D691E" w:rsidRDefault="00FF7515" w:rsidP="00FF7515">
      <w:pPr>
        <w:autoSpaceDE w:val="0"/>
        <w:autoSpaceDN w:val="0"/>
        <w:adjustRightInd w:val="0"/>
        <w:spacing w:before="57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лиси намояндагони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арор мекунад: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йиру илова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«Дар бораи тухмипарвар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абул карда шавад.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намояндагони </w:t>
      </w:r>
    </w:p>
    <w:p w:rsidR="00FF7515" w:rsidRPr="003D691E" w:rsidRDefault="00FF7515" w:rsidP="00FF751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ab/>
        <w:t xml:space="preserve">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Зокирзода</w:t>
      </w:r>
    </w:p>
    <w:p w:rsidR="002E3B67" w:rsidRDefault="00FF7515" w:rsidP="00FF7515">
      <w:r w:rsidRPr="003D691E">
        <w:rPr>
          <w:rFonts w:ascii="Palatino Linotype" w:hAnsi="Palatino Linotype"/>
          <w:b/>
          <w:bCs/>
          <w:sz w:val="17"/>
          <w:szCs w:val="17"/>
        </w:rPr>
        <w:t>ш. Душанбе, 1 ноябри соли 2023, № 1152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15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0F27"/>
  <w15:chartTrackingRefBased/>
  <w15:docId w15:val="{E2CF5D72-6627-4E36-A670-0D3E05D4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2024-01-10T10:02:00Z</dcterms:created>
  <dcterms:modified xsi:type="dcterms:W3CDTF">2024-01-10T10:03:00Z</dcterms:modified>
</cp:coreProperties>
</file>